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pPr>
        <w:adjustRightInd w:val="0"/>
        <w:spacing w:line="360" w:lineRule="auto"/>
        <w:jc w:val="center"/>
        <w:rPr>
          <w:rFonts w:hint="eastAsia" w:ascii="仿宋" w:hAnsi="仿宋" w:eastAsia="仿宋" w:cs="仿宋"/>
          <w:b/>
          <w:sz w:val="48"/>
          <w:szCs w:val="48"/>
          <w:lang w:eastAsia="zh-CN"/>
        </w:rPr>
      </w:pPr>
      <w:bookmarkStart w:id="402" w:name="_GoBack"/>
      <w:r>
        <w:rPr>
          <w:rFonts w:hint="eastAsia" w:ascii="仿宋" w:hAnsi="仿宋" w:eastAsia="仿宋" w:cs="仿宋"/>
          <w:b/>
          <w:sz w:val="48"/>
          <w:szCs w:val="48"/>
          <w:lang w:eastAsia="zh-CN"/>
        </w:rPr>
        <w:t>2023年全区无线电管控设备运维服务</w:t>
      </w:r>
    </w:p>
    <w:p>
      <w:pPr>
        <w:adjustRightInd w:val="0"/>
        <w:spacing w:line="360" w:lineRule="auto"/>
        <w:jc w:val="center"/>
        <w:rPr>
          <w:rFonts w:hint="eastAsia" w:ascii="仿宋" w:hAnsi="仿宋" w:eastAsia="仿宋" w:cs="仿宋"/>
          <w:b/>
          <w:sz w:val="48"/>
          <w:szCs w:val="48"/>
          <w:lang w:eastAsia="zh-CN"/>
        </w:rPr>
      </w:pPr>
      <w:r>
        <w:rPr>
          <w:rFonts w:hint="eastAsia" w:ascii="仿宋" w:hAnsi="仿宋" w:eastAsia="仿宋" w:cs="仿宋"/>
          <w:b/>
          <w:sz w:val="48"/>
          <w:szCs w:val="48"/>
          <w:lang w:eastAsia="zh-CN"/>
        </w:rPr>
        <w:t>采购项目</w:t>
      </w:r>
      <w:bookmarkEnd w:id="402"/>
    </w:p>
    <w:p>
      <w:pPr>
        <w:adjustRightInd w:val="0"/>
        <w:spacing w:line="360" w:lineRule="auto"/>
        <w:jc w:val="center"/>
        <w:rPr>
          <w:rFonts w:hint="eastAsia" w:ascii="仿宋" w:hAnsi="仿宋" w:eastAsia="仿宋" w:cs="仿宋"/>
          <w:b/>
          <w:sz w:val="28"/>
          <w:szCs w:val="28"/>
        </w:rPr>
      </w:pP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 xml:space="preserve">竞 </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 xml:space="preserve">争 </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 xml:space="preserve">性 </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 xml:space="preserve">磋 </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商</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 xml:space="preserve">文 </w:t>
      </w:r>
    </w:p>
    <w:p>
      <w:pPr>
        <w:adjustRightInd w:val="0"/>
        <w:spacing w:line="240" w:lineRule="auto"/>
        <w:jc w:val="center"/>
        <w:rPr>
          <w:rFonts w:hint="eastAsia" w:ascii="仿宋" w:hAnsi="仿宋" w:eastAsia="仿宋" w:cs="仿宋"/>
          <w:b/>
          <w:sz w:val="72"/>
          <w:szCs w:val="72"/>
        </w:rPr>
      </w:pPr>
      <w:r>
        <w:rPr>
          <w:rFonts w:hint="eastAsia" w:ascii="仿宋" w:hAnsi="仿宋" w:eastAsia="仿宋" w:cs="仿宋"/>
          <w:b/>
          <w:sz w:val="72"/>
          <w:szCs w:val="72"/>
        </w:rPr>
        <w:t>件</w:t>
      </w:r>
    </w:p>
    <w:p>
      <w:pPr>
        <w:adjustRightInd w:val="0"/>
        <w:spacing w:line="360" w:lineRule="auto"/>
        <w:ind w:left="778" w:leftChars="26" w:hanging="723" w:hangingChars="300"/>
        <w:jc w:val="center"/>
        <w:rPr>
          <w:rFonts w:hint="eastAsia" w:ascii="仿宋" w:hAnsi="仿宋" w:eastAsia="仿宋" w:cs="仿宋"/>
          <w:b/>
          <w:sz w:val="24"/>
          <w:szCs w:val="24"/>
        </w:rPr>
      </w:pPr>
    </w:p>
    <w:p>
      <w:pPr>
        <w:snapToGrid w:val="0"/>
        <w:spacing w:line="360" w:lineRule="auto"/>
        <w:ind w:firstLine="1124" w:firstLineChars="400"/>
        <w:rPr>
          <w:rFonts w:hint="default" w:ascii="仿宋" w:hAnsi="仿宋" w:eastAsia="仿宋" w:cs="仿宋"/>
          <w:b/>
          <w:kern w:val="0"/>
          <w:sz w:val="28"/>
          <w:szCs w:val="28"/>
          <w:lang w:val="en-US" w:eastAsia="zh-CN"/>
        </w:rPr>
      </w:pPr>
      <w:r>
        <w:rPr>
          <w:rFonts w:hint="eastAsia" w:ascii="仿宋" w:hAnsi="仿宋" w:eastAsia="仿宋" w:cs="仿宋"/>
          <w:b/>
          <w:kern w:val="144"/>
          <w:sz w:val="28"/>
          <w:szCs w:val="28"/>
        </w:rPr>
        <w:t>项  目 编 号</w:t>
      </w:r>
      <w:r>
        <w:rPr>
          <w:rFonts w:hint="eastAsia" w:ascii="仿宋" w:hAnsi="仿宋" w:eastAsia="仿宋" w:cs="仿宋"/>
          <w:b/>
          <w:kern w:val="0"/>
          <w:sz w:val="28"/>
          <w:szCs w:val="28"/>
        </w:rPr>
        <w:t>：</w:t>
      </w:r>
      <w:bookmarkStart w:id="0" w:name="_Hlk45697823"/>
      <w:r>
        <w:rPr>
          <w:rFonts w:hint="eastAsia" w:ascii="仿宋" w:hAnsi="仿宋" w:eastAsia="仿宋" w:cs="仿宋"/>
          <w:b/>
          <w:kern w:val="0"/>
          <w:sz w:val="28"/>
          <w:szCs w:val="28"/>
        </w:rPr>
        <w:t>GZFCG2023-13749</w:t>
      </w:r>
      <w:r>
        <w:rPr>
          <w:rFonts w:hint="eastAsia" w:ascii="仿宋" w:hAnsi="仿宋" w:eastAsia="仿宋" w:cs="仿宋"/>
          <w:b/>
          <w:kern w:val="0"/>
          <w:sz w:val="28"/>
          <w:szCs w:val="28"/>
          <w:lang w:val="en-US" w:eastAsia="zh-CN"/>
        </w:rPr>
        <w:t>(TJGJCG-2023015 )</w:t>
      </w:r>
    </w:p>
    <w:bookmarkEnd w:id="0"/>
    <w:p>
      <w:pPr>
        <w:spacing w:line="360" w:lineRule="auto"/>
        <w:ind w:firstLine="1124" w:firstLineChars="400"/>
        <w:rPr>
          <w:rFonts w:hint="eastAsia" w:ascii="仿宋" w:hAnsi="仿宋" w:eastAsia="仿宋" w:cs="仿宋"/>
          <w:b/>
          <w:kern w:val="0"/>
          <w:sz w:val="28"/>
          <w:szCs w:val="28"/>
          <w:lang w:eastAsia="zh-CN"/>
        </w:rPr>
      </w:pPr>
      <w:r>
        <w:rPr>
          <w:rFonts w:hint="eastAsia" w:ascii="仿宋" w:hAnsi="仿宋" w:eastAsia="仿宋" w:cs="仿宋"/>
          <w:b/>
          <w:bCs/>
          <w:sz w:val="28"/>
          <w:szCs w:val="28"/>
        </w:rPr>
        <w:t>采   购   人：</w:t>
      </w:r>
      <w:r>
        <w:rPr>
          <w:rFonts w:hint="eastAsia" w:ascii="仿宋" w:hAnsi="仿宋" w:eastAsia="仿宋" w:cs="仿宋"/>
          <w:b/>
          <w:bCs/>
          <w:sz w:val="28"/>
          <w:szCs w:val="28"/>
          <w:lang w:eastAsia="zh-CN"/>
        </w:rPr>
        <w:t xml:space="preserve">西藏自治区经济和信息化厅 </w:t>
      </w:r>
    </w:p>
    <w:p>
      <w:pPr>
        <w:spacing w:line="360" w:lineRule="auto"/>
        <w:ind w:firstLine="1124" w:firstLineChars="400"/>
        <w:rPr>
          <w:rFonts w:hint="eastAsia" w:ascii="仿宋" w:hAnsi="仿宋" w:eastAsia="仿宋" w:cs="仿宋"/>
          <w:b/>
          <w:bCs/>
          <w:sz w:val="28"/>
          <w:szCs w:val="28"/>
        </w:rPr>
      </w:pPr>
      <w:r>
        <w:rPr>
          <w:rFonts w:hint="eastAsia" w:ascii="仿宋" w:hAnsi="仿宋" w:eastAsia="仿宋" w:cs="仿宋"/>
          <w:b/>
          <w:bCs/>
          <w:sz w:val="28"/>
          <w:szCs w:val="28"/>
        </w:rPr>
        <w:t>采购代理</w:t>
      </w:r>
      <w:bookmarkStart w:id="1" w:name="_Hlt497905183"/>
      <w:bookmarkEnd w:id="1"/>
      <w:bookmarkStart w:id="2" w:name="_Hlt498163591"/>
      <w:bookmarkEnd w:id="2"/>
      <w:r>
        <w:rPr>
          <w:rFonts w:hint="eastAsia" w:ascii="仿宋" w:hAnsi="仿宋" w:eastAsia="仿宋" w:cs="仿宋"/>
          <w:b/>
          <w:bCs/>
          <w:sz w:val="28"/>
          <w:szCs w:val="28"/>
        </w:rPr>
        <w:t>机构：天鉴国际工程管理有限公司</w:t>
      </w:r>
    </w:p>
    <w:p>
      <w:pPr>
        <w:tabs>
          <w:tab w:val="left" w:pos="1620"/>
        </w:tabs>
        <w:spacing w:line="360" w:lineRule="auto"/>
        <w:ind w:firstLine="1124" w:firstLineChars="400"/>
        <w:rPr>
          <w:rFonts w:hint="eastAsia" w:ascii="仿宋" w:hAnsi="仿宋" w:eastAsia="仿宋" w:cs="仿宋"/>
          <w:b/>
          <w:bCs/>
          <w:sz w:val="28"/>
          <w:szCs w:val="28"/>
        </w:rPr>
      </w:pPr>
      <w:r>
        <w:rPr>
          <w:rFonts w:hint="eastAsia" w:ascii="仿宋" w:hAnsi="仿宋" w:eastAsia="仿宋" w:cs="仿宋"/>
          <w:b/>
          <w:bCs/>
          <w:sz w:val="28"/>
          <w:szCs w:val="28"/>
        </w:rPr>
        <w:t>编  制 日 期：2023年3月</w:t>
      </w:r>
    </w:p>
    <w:p>
      <w:pPr>
        <w:spacing w:line="360" w:lineRule="auto"/>
        <w:rPr>
          <w:rFonts w:hint="eastAsia" w:ascii="仿宋" w:hAnsi="仿宋" w:eastAsia="仿宋" w:cs="仿宋"/>
          <w:b/>
          <w:sz w:val="24"/>
          <w:szCs w:val="24"/>
        </w:rPr>
      </w:pPr>
    </w:p>
    <w:p>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目    录</w:t>
      </w:r>
    </w:p>
    <w:p>
      <w:pPr>
        <w:spacing w:line="360" w:lineRule="auto"/>
        <w:jc w:val="center"/>
        <w:rPr>
          <w:rFonts w:hint="eastAsia" w:ascii="仿宋" w:hAnsi="仿宋" w:eastAsia="仿宋" w:cs="仿宋"/>
          <w:b/>
          <w:sz w:val="24"/>
          <w:szCs w:val="24"/>
        </w:rPr>
      </w:pP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TOC \o "1-3" \h \z \u </w:instrText>
      </w:r>
      <w:r>
        <w:rPr>
          <w:rFonts w:hint="eastAsia" w:ascii="仿宋" w:hAnsi="仿宋" w:eastAsia="仿宋" w:cs="仿宋"/>
          <w:color w:val="auto"/>
          <w:sz w:val="24"/>
          <w:szCs w:val="24"/>
        </w:rPr>
        <w:fldChar w:fldCharType="separate"/>
      </w: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"_Toc44783866"</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rPr>
        <w:t>第一章 竞争性磋商公告</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_Toc44783866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rPr>
        <w:fldChar w:fldCharType="end"/>
      </w:r>
      <w:r>
        <w:rPr>
          <w:rFonts w:hint="eastAsia" w:ascii="仿宋" w:hAnsi="仿宋" w:eastAsia="仿宋" w:cs="仿宋"/>
          <w:color w:val="auto"/>
        </w:rPr>
        <w:fldChar w:fldCharType="end"/>
      </w: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"_Toc44783867"</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rPr>
        <w:t>第二章 供应商须知前附表</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_Toc44783867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rPr>
        <w:fldChar w:fldCharType="end"/>
      </w:r>
      <w:r>
        <w:rPr>
          <w:rFonts w:hint="eastAsia" w:ascii="仿宋" w:hAnsi="仿宋" w:eastAsia="仿宋" w:cs="仿宋"/>
          <w:color w:val="auto"/>
        </w:rPr>
        <w:fldChar w:fldCharType="end"/>
      </w: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"_Toc44783868"</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rPr>
        <w:t>第三章 供应商须知</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_Toc44783868 \h </w:instrText>
      </w:r>
      <w:r>
        <w:rPr>
          <w:rFonts w:hint="eastAsia" w:ascii="仿宋" w:hAnsi="仿宋" w:eastAsia="仿宋" w:cs="仿宋"/>
          <w:color w:val="auto"/>
        </w:rPr>
        <w:fldChar w:fldCharType="separate"/>
      </w:r>
      <w:r>
        <w:rPr>
          <w:rFonts w:hint="eastAsia" w:ascii="仿宋" w:hAnsi="仿宋" w:eastAsia="仿宋" w:cs="仿宋"/>
          <w:color w:val="auto"/>
        </w:rPr>
        <w:t>11</w:t>
      </w:r>
      <w:r>
        <w:rPr>
          <w:rFonts w:hint="eastAsia" w:ascii="仿宋" w:hAnsi="仿宋" w:eastAsia="仿宋" w:cs="仿宋"/>
          <w:color w:val="auto"/>
        </w:rPr>
        <w:fldChar w:fldCharType="end"/>
      </w:r>
      <w:r>
        <w:rPr>
          <w:rFonts w:hint="eastAsia" w:ascii="仿宋" w:hAnsi="仿宋" w:eastAsia="仿宋" w:cs="仿宋"/>
          <w:color w:val="auto"/>
        </w:rPr>
        <w:fldChar w:fldCharType="end"/>
      </w:r>
    </w:p>
    <w:p>
      <w:pPr>
        <w:pStyle w:val="36"/>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"_Toc44783869"</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一、</w:t>
      </w:r>
      <w:r>
        <w:rPr>
          <w:rFonts w:hint="eastAsia" w:ascii="仿宋" w:hAnsi="仿宋" w:eastAsia="仿宋" w:cs="仿宋"/>
          <w:bCs/>
          <w:szCs w:val="22"/>
          <w:lang w:val="en-US" w:eastAsia="zh-CN"/>
        </w:rPr>
        <w:tab/>
      </w:r>
      <w:r>
        <w:rPr>
          <w:rStyle w:val="50"/>
          <w:rFonts w:hint="eastAsia" w:ascii="仿宋" w:hAnsi="仿宋" w:eastAsia="仿宋" w:cs="仿宋"/>
          <w:bCs/>
          <w:color w:val="auto"/>
        </w:rPr>
        <w:t>说</w:t>
      </w:r>
      <w:bookmarkStart w:id="3" w:name="_Hlt44783956"/>
      <w:r>
        <w:rPr>
          <w:rStyle w:val="50"/>
          <w:rFonts w:hint="eastAsia" w:ascii="仿宋" w:hAnsi="仿宋" w:eastAsia="仿宋" w:cs="仿宋"/>
          <w:bCs/>
          <w:color w:val="auto"/>
        </w:rPr>
        <w:t>明</w:t>
      </w:r>
      <w:bookmarkEnd w:id="3"/>
      <w:r>
        <w:rPr>
          <w:rFonts w:hint="eastAsia" w:ascii="仿宋" w:hAnsi="仿宋" w:eastAsia="仿宋" w:cs="仿宋"/>
          <w:bCs/>
        </w:rPr>
        <w:tab/>
      </w:r>
      <w:bookmarkStart w:id="4" w:name="_Hlt44783931"/>
      <w:r>
        <w:rPr>
          <w:rFonts w:hint="eastAsia" w:ascii="仿宋" w:hAnsi="仿宋" w:eastAsia="仿宋" w:cs="仿宋"/>
          <w:bCs/>
        </w:rPr>
        <w:fldChar w:fldCharType="begin"/>
      </w:r>
      <w:r>
        <w:rPr>
          <w:rFonts w:hint="eastAsia" w:ascii="仿宋" w:hAnsi="仿宋" w:eastAsia="仿宋" w:cs="仿宋"/>
          <w:bCs/>
        </w:rPr>
        <w:instrText xml:space="preserve"> PAGEREF _Toc44783869 \h </w:instrText>
      </w:r>
      <w:r>
        <w:rPr>
          <w:rFonts w:hint="eastAsia" w:ascii="仿宋" w:hAnsi="仿宋" w:eastAsia="仿宋" w:cs="仿宋"/>
          <w:bCs/>
        </w:rPr>
        <w:fldChar w:fldCharType="separate"/>
      </w:r>
      <w:r>
        <w:rPr>
          <w:rFonts w:hint="eastAsia" w:ascii="仿宋" w:hAnsi="仿宋" w:eastAsia="仿宋" w:cs="仿宋"/>
          <w:bCs/>
        </w:rPr>
        <w:t>11</w:t>
      </w:r>
      <w:r>
        <w:rPr>
          <w:rFonts w:hint="eastAsia" w:ascii="仿宋" w:hAnsi="仿宋" w:eastAsia="仿宋" w:cs="仿宋"/>
          <w:bCs/>
        </w:rPr>
        <w:fldChar w:fldCharType="end"/>
      </w:r>
      <w:bookmarkEnd w:id="4"/>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"_Toc44783870"</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二、</w:t>
      </w:r>
      <w:r>
        <w:rPr>
          <w:rFonts w:hint="eastAsia" w:ascii="仿宋" w:hAnsi="仿宋" w:eastAsia="仿宋" w:cs="仿宋"/>
          <w:bCs/>
          <w:szCs w:val="22"/>
          <w:lang w:val="en-US" w:eastAsia="zh-CN"/>
        </w:rPr>
        <w:tab/>
      </w:r>
      <w:r>
        <w:rPr>
          <w:rStyle w:val="50"/>
          <w:rFonts w:hint="eastAsia" w:ascii="仿宋" w:hAnsi="仿宋" w:eastAsia="仿宋" w:cs="仿宋"/>
          <w:bCs/>
          <w:color w:val="auto"/>
        </w:rPr>
        <w:t>响应文件</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_Toc44783870 \h </w:instrText>
      </w:r>
      <w:r>
        <w:rPr>
          <w:rFonts w:hint="eastAsia" w:ascii="仿宋" w:hAnsi="仿宋" w:eastAsia="仿宋" w:cs="仿宋"/>
          <w:bCs/>
        </w:rPr>
        <w:fldChar w:fldCharType="separate"/>
      </w:r>
      <w:r>
        <w:rPr>
          <w:rFonts w:hint="eastAsia" w:ascii="仿宋" w:hAnsi="仿宋" w:eastAsia="仿宋" w:cs="仿宋"/>
          <w:bCs/>
        </w:rPr>
        <w:t>14</w:t>
      </w:r>
      <w:r>
        <w:rPr>
          <w:rFonts w:hint="eastAsia" w:ascii="仿宋" w:hAnsi="仿宋" w:eastAsia="仿宋" w:cs="仿宋"/>
          <w:bCs/>
        </w:rPr>
        <w:fldChar w:fldCharType="end"/>
      </w:r>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"_Toc44783871"</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三、</w:t>
      </w:r>
      <w:r>
        <w:rPr>
          <w:rFonts w:hint="eastAsia" w:ascii="仿宋" w:hAnsi="仿宋" w:eastAsia="仿宋" w:cs="仿宋"/>
          <w:bCs/>
          <w:szCs w:val="22"/>
          <w:lang w:val="en-US" w:eastAsia="zh-CN"/>
        </w:rPr>
        <w:tab/>
      </w:r>
      <w:r>
        <w:rPr>
          <w:rStyle w:val="50"/>
          <w:rFonts w:hint="eastAsia" w:ascii="仿宋" w:hAnsi="仿宋" w:eastAsia="仿宋" w:cs="仿宋"/>
          <w:bCs/>
          <w:color w:val="auto"/>
        </w:rPr>
        <w:t>响应文件的编制</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_Toc44783871 \h </w:instrText>
      </w:r>
      <w:r>
        <w:rPr>
          <w:rFonts w:hint="eastAsia" w:ascii="仿宋" w:hAnsi="仿宋" w:eastAsia="仿宋" w:cs="仿宋"/>
          <w:bCs/>
        </w:rPr>
        <w:fldChar w:fldCharType="separate"/>
      </w:r>
      <w:r>
        <w:rPr>
          <w:rFonts w:hint="eastAsia" w:ascii="仿宋" w:hAnsi="仿宋" w:eastAsia="仿宋" w:cs="仿宋"/>
          <w:bCs/>
        </w:rPr>
        <w:t>15</w:t>
      </w:r>
      <w:r>
        <w:rPr>
          <w:rFonts w:hint="eastAsia" w:ascii="仿宋" w:hAnsi="仿宋" w:eastAsia="仿宋" w:cs="仿宋"/>
          <w:bCs/>
        </w:rPr>
        <w:fldChar w:fldCharType="end"/>
      </w:r>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"_Toc44783872"</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四、</w:t>
      </w:r>
      <w:r>
        <w:rPr>
          <w:rFonts w:hint="eastAsia" w:ascii="仿宋" w:hAnsi="仿宋" w:eastAsia="仿宋" w:cs="仿宋"/>
          <w:bCs/>
          <w:szCs w:val="22"/>
          <w:lang w:val="en-US" w:eastAsia="zh-CN"/>
        </w:rPr>
        <w:tab/>
      </w:r>
      <w:r>
        <w:rPr>
          <w:rStyle w:val="50"/>
          <w:rFonts w:hint="eastAsia" w:ascii="仿宋" w:hAnsi="仿宋" w:eastAsia="仿宋" w:cs="仿宋"/>
          <w:bCs/>
          <w:color w:val="auto"/>
        </w:rPr>
        <w:t>响应文件的密封和递交</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_Toc44783872 \h </w:instrText>
      </w:r>
      <w:r>
        <w:rPr>
          <w:rFonts w:hint="eastAsia" w:ascii="仿宋" w:hAnsi="仿宋" w:eastAsia="仿宋" w:cs="仿宋"/>
          <w:bCs/>
        </w:rPr>
        <w:fldChar w:fldCharType="separate"/>
      </w:r>
      <w:r>
        <w:rPr>
          <w:rFonts w:hint="eastAsia" w:ascii="仿宋" w:hAnsi="仿宋" w:eastAsia="仿宋" w:cs="仿宋"/>
          <w:bCs/>
        </w:rPr>
        <w:t>16</w:t>
      </w:r>
      <w:r>
        <w:rPr>
          <w:rFonts w:hint="eastAsia" w:ascii="仿宋" w:hAnsi="仿宋" w:eastAsia="仿宋" w:cs="仿宋"/>
          <w:bCs/>
        </w:rPr>
        <w:fldChar w:fldCharType="end"/>
      </w:r>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"_Toc44783873"</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五、</w:t>
      </w:r>
      <w:r>
        <w:rPr>
          <w:rFonts w:hint="eastAsia" w:ascii="仿宋" w:hAnsi="仿宋" w:eastAsia="仿宋" w:cs="仿宋"/>
          <w:bCs/>
          <w:szCs w:val="22"/>
          <w:lang w:val="en-US" w:eastAsia="zh-CN"/>
        </w:rPr>
        <w:tab/>
      </w:r>
      <w:r>
        <w:rPr>
          <w:rStyle w:val="50"/>
          <w:rFonts w:hint="eastAsia" w:ascii="仿宋" w:hAnsi="仿宋" w:eastAsia="仿宋" w:cs="仿宋"/>
          <w:bCs/>
          <w:color w:val="auto"/>
        </w:rPr>
        <w:t>评审与磋商</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_Toc44783873 \h </w:instrText>
      </w:r>
      <w:r>
        <w:rPr>
          <w:rFonts w:hint="eastAsia" w:ascii="仿宋" w:hAnsi="仿宋" w:eastAsia="仿宋" w:cs="仿宋"/>
          <w:bCs/>
        </w:rPr>
        <w:fldChar w:fldCharType="separate"/>
      </w:r>
      <w:r>
        <w:rPr>
          <w:rFonts w:hint="eastAsia" w:ascii="仿宋" w:hAnsi="仿宋" w:eastAsia="仿宋" w:cs="仿宋"/>
          <w:bCs/>
        </w:rPr>
        <w:t>20</w:t>
      </w:r>
      <w:r>
        <w:rPr>
          <w:rFonts w:hint="eastAsia" w:ascii="仿宋" w:hAnsi="仿宋" w:eastAsia="仿宋" w:cs="仿宋"/>
          <w:bCs/>
        </w:rPr>
        <w:fldChar w:fldCharType="end"/>
      </w:r>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"_Toc44783874"</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六、</w:t>
      </w:r>
      <w:r>
        <w:rPr>
          <w:rFonts w:hint="eastAsia" w:ascii="仿宋" w:hAnsi="仿宋" w:eastAsia="仿宋" w:cs="仿宋"/>
          <w:bCs/>
          <w:szCs w:val="22"/>
          <w:lang w:val="en-US" w:eastAsia="zh-CN"/>
        </w:rPr>
        <w:tab/>
      </w:r>
      <w:r>
        <w:rPr>
          <w:rStyle w:val="50"/>
          <w:rFonts w:hint="eastAsia" w:ascii="仿宋" w:hAnsi="仿宋" w:eastAsia="仿宋" w:cs="仿宋"/>
          <w:bCs/>
          <w:color w:val="auto"/>
        </w:rPr>
        <w:t>授予合同</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_Toc44783874 \h </w:instrText>
      </w:r>
      <w:r>
        <w:rPr>
          <w:rFonts w:hint="eastAsia" w:ascii="仿宋" w:hAnsi="仿宋" w:eastAsia="仿宋" w:cs="仿宋"/>
          <w:bCs/>
        </w:rPr>
        <w:fldChar w:fldCharType="separate"/>
      </w:r>
      <w:r>
        <w:rPr>
          <w:rFonts w:hint="eastAsia" w:ascii="仿宋" w:hAnsi="仿宋" w:eastAsia="仿宋" w:cs="仿宋"/>
          <w:bCs/>
        </w:rPr>
        <w:t>27</w:t>
      </w:r>
      <w:r>
        <w:rPr>
          <w:rFonts w:hint="eastAsia" w:ascii="仿宋" w:hAnsi="仿宋" w:eastAsia="仿宋" w:cs="仿宋"/>
          <w:bCs/>
        </w:rPr>
        <w:fldChar w:fldCharType="end"/>
      </w:r>
      <w:r>
        <w:rPr>
          <w:rFonts w:hint="eastAsia" w:ascii="仿宋" w:hAnsi="仿宋" w:eastAsia="仿宋" w:cs="仿宋"/>
          <w:bCs/>
        </w:rPr>
        <w:fldChar w:fldCharType="end"/>
      </w:r>
    </w:p>
    <w:p>
      <w:pPr>
        <w:pStyle w:val="36"/>
        <w:tabs>
          <w:tab w:val="left" w:pos="1260"/>
        </w:tabs>
        <w:spacing w:line="360" w:lineRule="auto"/>
        <w:ind w:left="628" w:hanging="626"/>
        <w:rPr>
          <w:rFonts w:hint="eastAsia" w:ascii="仿宋" w:hAnsi="仿宋" w:eastAsia="仿宋" w:cs="仿宋"/>
          <w:bCs/>
          <w:szCs w:val="22"/>
          <w:lang w:val="en-US" w:eastAsia="zh-CN"/>
        </w:rPr>
      </w:pPr>
      <w:r>
        <w:rPr>
          <w:rFonts w:hint="eastAsia" w:ascii="仿宋" w:hAnsi="仿宋" w:eastAsia="仿宋" w:cs="仿宋"/>
          <w:bCs/>
        </w:rPr>
        <w:fldChar w:fldCharType="begin"/>
      </w:r>
      <w:r>
        <w:rPr>
          <w:rStyle w:val="50"/>
          <w:rFonts w:hint="eastAsia" w:ascii="仿宋" w:hAnsi="仿宋" w:eastAsia="仿宋" w:cs="仿宋"/>
          <w:bCs/>
          <w:color w:val="auto"/>
        </w:rPr>
        <w:instrText xml:space="preserve"> </w:instrText>
      </w:r>
      <w:r>
        <w:rPr>
          <w:rFonts w:hint="eastAsia" w:ascii="仿宋" w:hAnsi="仿宋" w:eastAsia="仿宋" w:cs="仿宋"/>
          <w:bCs/>
        </w:rPr>
        <w:instrText xml:space="preserve">HYPERLINK \l "_Toc44783875"</w:instrText>
      </w:r>
      <w:r>
        <w:rPr>
          <w:rStyle w:val="50"/>
          <w:rFonts w:hint="eastAsia" w:ascii="仿宋" w:hAnsi="仿宋" w:eastAsia="仿宋" w:cs="仿宋"/>
          <w:bCs/>
          <w:color w:val="auto"/>
        </w:rPr>
        <w:instrText xml:space="preserve"> </w:instrText>
      </w:r>
      <w:r>
        <w:rPr>
          <w:rFonts w:hint="eastAsia" w:ascii="仿宋" w:hAnsi="仿宋" w:eastAsia="仿宋" w:cs="仿宋"/>
          <w:bCs/>
        </w:rPr>
        <w:fldChar w:fldCharType="separate"/>
      </w:r>
      <w:r>
        <w:rPr>
          <w:rStyle w:val="50"/>
          <w:rFonts w:hint="eastAsia" w:ascii="仿宋" w:hAnsi="仿宋" w:eastAsia="仿宋" w:cs="仿宋"/>
          <w:bCs/>
          <w:color w:val="auto"/>
        </w:rPr>
        <w:t>七、</w:t>
      </w:r>
      <w:r>
        <w:rPr>
          <w:rFonts w:hint="eastAsia" w:ascii="仿宋" w:hAnsi="仿宋" w:eastAsia="仿宋" w:cs="仿宋"/>
          <w:bCs/>
          <w:szCs w:val="22"/>
          <w:lang w:val="en-US" w:eastAsia="zh-CN"/>
        </w:rPr>
        <w:tab/>
      </w:r>
      <w:r>
        <w:rPr>
          <w:rStyle w:val="50"/>
          <w:rFonts w:hint="eastAsia" w:ascii="仿宋" w:hAnsi="仿宋" w:eastAsia="仿宋" w:cs="仿宋"/>
          <w:bCs/>
          <w:color w:val="auto"/>
        </w:rPr>
        <w:t>商务要求</w:t>
      </w:r>
      <w:r>
        <w:rPr>
          <w:rFonts w:hint="eastAsia" w:ascii="仿宋" w:hAnsi="仿宋" w:eastAsia="仿宋" w:cs="仿宋"/>
          <w:bCs/>
        </w:rPr>
        <w:tab/>
      </w:r>
      <w:r>
        <w:rPr>
          <w:rFonts w:hint="eastAsia" w:ascii="仿宋" w:hAnsi="仿宋" w:eastAsia="仿宋" w:cs="仿宋"/>
          <w:bCs/>
        </w:rPr>
        <w:fldChar w:fldCharType="begin"/>
      </w:r>
      <w:r>
        <w:rPr>
          <w:rFonts w:hint="eastAsia" w:ascii="仿宋" w:hAnsi="仿宋" w:eastAsia="仿宋" w:cs="仿宋"/>
          <w:bCs/>
        </w:rPr>
        <w:instrText xml:space="preserve"> PAGEREF _Toc44783875 \h </w:instrText>
      </w:r>
      <w:r>
        <w:rPr>
          <w:rFonts w:hint="eastAsia" w:ascii="仿宋" w:hAnsi="仿宋" w:eastAsia="仿宋" w:cs="仿宋"/>
          <w:bCs/>
        </w:rPr>
        <w:fldChar w:fldCharType="separate"/>
      </w:r>
      <w:r>
        <w:rPr>
          <w:rFonts w:hint="eastAsia" w:ascii="仿宋" w:hAnsi="仿宋" w:eastAsia="仿宋" w:cs="仿宋"/>
          <w:bCs/>
        </w:rPr>
        <w:t>28</w:t>
      </w:r>
      <w:r>
        <w:rPr>
          <w:rFonts w:hint="eastAsia" w:ascii="仿宋" w:hAnsi="仿宋" w:eastAsia="仿宋" w:cs="仿宋"/>
          <w:bCs/>
        </w:rPr>
        <w:fldChar w:fldCharType="end"/>
      </w:r>
      <w:r>
        <w:rPr>
          <w:rFonts w:hint="eastAsia" w:ascii="仿宋" w:hAnsi="仿宋" w:eastAsia="仿宋" w:cs="仿宋"/>
          <w:bCs/>
        </w:rPr>
        <w:fldChar w:fldCharType="end"/>
      </w: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"_Toc44783876"</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lang w:eastAsia="zh-CN"/>
        </w:rPr>
        <w:t xml:space="preserve">第四章 </w:t>
      </w:r>
      <w:r>
        <w:rPr>
          <w:rStyle w:val="50"/>
          <w:rFonts w:hint="eastAsia" w:ascii="仿宋" w:hAnsi="仿宋" w:eastAsia="仿宋" w:cs="仿宋"/>
          <w:color w:val="auto"/>
        </w:rPr>
        <w:t>采购需求</w:t>
      </w:r>
      <w:r>
        <w:rPr>
          <w:rFonts w:hint="eastAsia" w:ascii="仿宋" w:hAnsi="仿宋" w:eastAsia="仿宋" w:cs="仿宋"/>
          <w:color w:val="auto"/>
        </w:rPr>
        <w:tab/>
      </w:r>
      <w:bookmarkStart w:id="5" w:name="_Hlt44783895"/>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_Toc44783876 \h </w:instrText>
      </w:r>
      <w:r>
        <w:rPr>
          <w:rFonts w:hint="eastAsia" w:ascii="仿宋" w:hAnsi="仿宋" w:eastAsia="仿宋" w:cs="仿宋"/>
          <w:color w:val="auto"/>
        </w:rPr>
        <w:fldChar w:fldCharType="separate"/>
      </w:r>
      <w:r>
        <w:rPr>
          <w:rFonts w:hint="eastAsia" w:ascii="仿宋" w:hAnsi="仿宋" w:eastAsia="仿宋" w:cs="仿宋"/>
          <w:color w:val="auto"/>
        </w:rPr>
        <w:t>31</w:t>
      </w:r>
      <w:r>
        <w:rPr>
          <w:rFonts w:hint="eastAsia" w:ascii="仿宋" w:hAnsi="仿宋" w:eastAsia="仿宋" w:cs="仿宋"/>
          <w:color w:val="auto"/>
        </w:rPr>
        <w:fldChar w:fldCharType="end"/>
      </w:r>
      <w:bookmarkEnd w:id="5"/>
      <w:r>
        <w:rPr>
          <w:rFonts w:hint="eastAsia" w:ascii="仿宋" w:hAnsi="仿宋" w:eastAsia="仿宋" w:cs="仿宋"/>
          <w:color w:val="auto"/>
        </w:rPr>
        <w:fldChar w:fldCharType="end"/>
      </w: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"_Toc44783893"</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rPr>
        <w:t>第五章 响应文件格式</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_Toc44783893 \h </w:instrText>
      </w:r>
      <w:r>
        <w:rPr>
          <w:rFonts w:hint="eastAsia" w:ascii="仿宋" w:hAnsi="仿宋" w:eastAsia="仿宋" w:cs="仿宋"/>
          <w:color w:val="auto"/>
        </w:rPr>
        <w:fldChar w:fldCharType="separate"/>
      </w:r>
      <w:r>
        <w:rPr>
          <w:rFonts w:hint="eastAsia" w:ascii="仿宋" w:hAnsi="仿宋" w:eastAsia="仿宋" w:cs="仿宋"/>
          <w:color w:val="auto"/>
        </w:rPr>
        <w:t>43</w:t>
      </w:r>
      <w:r>
        <w:rPr>
          <w:rFonts w:hint="eastAsia" w:ascii="仿宋" w:hAnsi="仿宋" w:eastAsia="仿宋" w:cs="仿宋"/>
          <w:color w:val="auto"/>
        </w:rPr>
        <w:fldChar w:fldCharType="end"/>
      </w:r>
      <w:r>
        <w:rPr>
          <w:rFonts w:hint="eastAsia" w:ascii="仿宋" w:hAnsi="仿宋" w:eastAsia="仿宋" w:cs="仿宋"/>
          <w:color w:val="auto"/>
        </w:rPr>
        <w:fldChar w:fldCharType="end"/>
      </w:r>
    </w:p>
    <w:p>
      <w:pPr>
        <w:pStyle w:val="31"/>
        <w:spacing w:line="360" w:lineRule="auto"/>
        <w:rPr>
          <w:rFonts w:hint="eastAsia" w:ascii="仿宋" w:hAnsi="仿宋" w:eastAsia="仿宋" w:cs="仿宋"/>
          <w:color w:val="auto"/>
          <w:szCs w:val="22"/>
          <w:lang w:val="en-US" w:eastAsia="zh-CN"/>
        </w:rPr>
      </w:pPr>
      <w:r>
        <w:rPr>
          <w:rFonts w:hint="eastAsia" w:ascii="仿宋" w:hAnsi="仿宋" w:eastAsia="仿宋" w:cs="仿宋"/>
          <w:color w:val="auto"/>
        </w:rPr>
        <w:fldChar w:fldCharType="begin"/>
      </w:r>
      <w:r>
        <w:rPr>
          <w:rStyle w:val="50"/>
          <w:rFonts w:hint="eastAsia" w:ascii="仿宋" w:hAnsi="仿宋" w:eastAsia="仿宋" w:cs="仿宋"/>
          <w:color w:val="auto"/>
        </w:rPr>
        <w:instrText xml:space="preserve"> </w:instrText>
      </w:r>
      <w:r>
        <w:rPr>
          <w:rFonts w:hint="eastAsia" w:ascii="仿宋" w:hAnsi="仿宋" w:eastAsia="仿宋" w:cs="仿宋"/>
          <w:color w:val="auto"/>
        </w:rPr>
        <w:instrText xml:space="preserve">HYPERLINK \l "_Toc44783894"</w:instrText>
      </w:r>
      <w:r>
        <w:rPr>
          <w:rStyle w:val="50"/>
          <w:rFonts w:hint="eastAsia" w:ascii="仿宋" w:hAnsi="仿宋" w:eastAsia="仿宋" w:cs="仿宋"/>
          <w:color w:val="auto"/>
        </w:rPr>
        <w:instrText xml:space="preserve"> </w:instrText>
      </w:r>
      <w:r>
        <w:rPr>
          <w:rFonts w:hint="eastAsia" w:ascii="仿宋" w:hAnsi="仿宋" w:eastAsia="仿宋" w:cs="仿宋"/>
          <w:color w:val="auto"/>
        </w:rPr>
        <w:fldChar w:fldCharType="separate"/>
      </w:r>
      <w:r>
        <w:rPr>
          <w:rStyle w:val="50"/>
          <w:rFonts w:hint="eastAsia" w:ascii="仿宋" w:hAnsi="仿宋" w:eastAsia="仿宋" w:cs="仿宋"/>
          <w:color w:val="auto"/>
        </w:rPr>
        <w:t>第六章 合同模板</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_Toc44783894 \h </w:instrText>
      </w:r>
      <w:r>
        <w:rPr>
          <w:rFonts w:hint="eastAsia" w:ascii="仿宋" w:hAnsi="仿宋" w:eastAsia="仿宋" w:cs="仿宋"/>
          <w:color w:val="auto"/>
        </w:rPr>
        <w:fldChar w:fldCharType="separate"/>
      </w:r>
      <w:r>
        <w:rPr>
          <w:rFonts w:hint="eastAsia" w:ascii="仿宋" w:hAnsi="仿宋" w:eastAsia="仿宋" w:cs="仿宋"/>
          <w:color w:val="auto"/>
        </w:rPr>
        <w:t>53</w:t>
      </w:r>
      <w:r>
        <w:rPr>
          <w:rFonts w:hint="eastAsia" w:ascii="仿宋" w:hAnsi="仿宋" w:eastAsia="仿宋" w:cs="仿宋"/>
          <w:color w:val="auto"/>
        </w:rPr>
        <w:fldChar w:fldCharType="end"/>
      </w:r>
      <w:r>
        <w:rPr>
          <w:rFonts w:hint="eastAsia" w:ascii="仿宋" w:hAnsi="仿宋" w:eastAsia="仿宋" w:cs="仿宋"/>
          <w:color w:val="auto"/>
        </w:rPr>
        <w:fldChar w:fldCharType="end"/>
      </w:r>
    </w:p>
    <w:p>
      <w:pPr>
        <w:pStyle w:val="31"/>
        <w:spacing w:line="360" w:lineRule="auto"/>
        <w:rPr>
          <w:rFonts w:hint="eastAsia" w:ascii="仿宋" w:hAnsi="仿宋" w:eastAsia="仿宋" w:cs="仿宋"/>
          <w:color w:val="auto"/>
          <w:sz w:val="24"/>
          <w:szCs w:val="24"/>
          <w:lang w:eastAsia="zh-CN"/>
        </w:rPr>
        <w:sectPr>
          <w:headerReference r:id="rId4" w:type="first"/>
          <w:footerReference r:id="rId7" w:type="first"/>
          <w:headerReference r:id="rId3" w:type="default"/>
          <w:footerReference r:id="rId5" w:type="default"/>
          <w:footerReference r:id="rId6" w:type="even"/>
          <w:pgSz w:w="11906" w:h="16838"/>
          <w:pgMar w:top="1418" w:right="1474" w:bottom="1418" w:left="1588" w:header="851" w:footer="624" w:gutter="0"/>
          <w:pgBorders>
            <w:top w:val="none" w:sz="0" w:space="0"/>
            <w:left w:val="none" w:sz="0" w:space="0"/>
            <w:bottom w:val="none" w:sz="0" w:space="0"/>
            <w:right w:val="none" w:sz="0" w:space="0"/>
          </w:pgBorders>
          <w:pgNumType w:start="0"/>
          <w:cols w:space="720" w:num="1"/>
          <w:titlePg/>
          <w:docGrid w:linePitch="312" w:charSpace="0"/>
        </w:sectPr>
      </w:pPr>
      <w:r>
        <w:rPr>
          <w:rFonts w:hint="eastAsia" w:ascii="仿宋" w:hAnsi="仿宋" w:eastAsia="仿宋" w:cs="仿宋"/>
          <w:color w:val="auto"/>
          <w:sz w:val="24"/>
          <w:szCs w:val="24"/>
        </w:rPr>
        <w:fldChar w:fldCharType="end"/>
      </w:r>
      <w:bookmarkStart w:id="6" w:name="_Toc471327957"/>
      <w:bookmarkStart w:id="7" w:name="_Toc44783866"/>
    </w:p>
    <w:p>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仿宋" w:hAnsi="仿宋" w:eastAsia="仿宋" w:cs="仿宋"/>
        </w:rPr>
      </w:pPr>
      <w:r>
        <w:rPr>
          <w:rFonts w:hint="eastAsia" w:ascii="仿宋" w:hAnsi="仿宋" w:eastAsia="仿宋" w:cs="仿宋"/>
        </w:rPr>
        <w:t xml:space="preserve">第一章 </w:t>
      </w:r>
      <w:bookmarkEnd w:id="6"/>
      <w:r>
        <w:rPr>
          <w:rFonts w:hint="eastAsia" w:ascii="仿宋" w:hAnsi="仿宋" w:eastAsia="仿宋" w:cs="仿宋"/>
        </w:rPr>
        <w:t>竞争性磋商</w:t>
      </w:r>
      <w:bookmarkStart w:id="8" w:name="_Toc47416177"/>
      <w:bookmarkStart w:id="9" w:name="_Toc49019216"/>
      <w:bookmarkStart w:id="10" w:name="_Toc344475809"/>
      <w:bookmarkStart w:id="11" w:name="_Toc47415923"/>
      <w:bookmarkStart w:id="12" w:name="_Toc471327958"/>
      <w:r>
        <w:rPr>
          <w:rFonts w:hint="eastAsia" w:ascii="仿宋" w:hAnsi="仿宋" w:eastAsia="仿宋" w:cs="仿宋"/>
        </w:rPr>
        <w:t>公告</w:t>
      </w:r>
      <w:bookmarkEnd w:id="7"/>
    </w:p>
    <w:p>
      <w:pPr>
        <w:pStyle w:val="62"/>
        <w:spacing w:line="360" w:lineRule="auto"/>
        <w:ind w:firstLine="480"/>
        <w:rPr>
          <w:rFonts w:hint="eastAsia" w:ascii="仿宋" w:hAnsi="仿宋" w:eastAsia="仿宋" w:cs="仿宋"/>
        </w:rPr>
      </w:pPr>
      <w:r>
        <w:rPr>
          <w:rFonts w:hint="eastAsia" w:ascii="仿宋" w:hAnsi="仿宋" w:eastAsia="仿宋" w:cs="仿宋"/>
        </w:rPr>
        <w:t>项目概况</w:t>
      </w:r>
    </w:p>
    <w:p>
      <w:pPr>
        <w:pStyle w:val="62"/>
        <w:spacing w:line="360" w:lineRule="auto"/>
        <w:ind w:firstLine="480"/>
        <w:rPr>
          <w:rFonts w:hint="eastAsia" w:ascii="仿宋" w:hAnsi="仿宋" w:eastAsia="仿宋" w:cs="仿宋"/>
        </w:rPr>
      </w:pPr>
      <w:r>
        <w:rPr>
          <w:rFonts w:hint="eastAsia" w:ascii="仿宋" w:hAnsi="仿宋" w:eastAsia="仿宋" w:cs="仿宋"/>
          <w:lang w:eastAsia="zh-CN"/>
        </w:rPr>
        <w:t>2023年全区无线电管控设备运维服务采购项目</w:t>
      </w:r>
      <w:r>
        <w:rPr>
          <w:rFonts w:hint="eastAsia" w:ascii="仿宋" w:hAnsi="仿宋" w:eastAsia="仿宋" w:cs="仿宋"/>
        </w:rPr>
        <w:t>的</w:t>
      </w:r>
      <w:bookmarkStart w:id="13" w:name="_Toc28359012"/>
      <w:bookmarkStart w:id="14" w:name="_Toc35393798"/>
      <w:bookmarkStart w:id="15" w:name="_Toc35393629"/>
      <w:bookmarkStart w:id="16" w:name="_Toc28359089"/>
      <w:r>
        <w:rPr>
          <w:rFonts w:hint="eastAsia" w:ascii="仿宋" w:hAnsi="仿宋" w:eastAsia="仿宋" w:cs="仿宋"/>
        </w:rPr>
        <w:t>潜在</w:t>
      </w:r>
      <w:r>
        <w:rPr>
          <w:rFonts w:hint="eastAsia" w:ascii="仿宋" w:hAnsi="仿宋" w:eastAsia="仿宋" w:cs="仿宋"/>
          <w:lang w:eastAsia="zh-CN"/>
        </w:rPr>
        <w:t>供应商西藏自治区公共资源交易网（http://ggzy.xizang.gov.cn）</w:t>
      </w:r>
      <w:r>
        <w:rPr>
          <w:rFonts w:hint="eastAsia" w:ascii="仿宋" w:hAnsi="仿宋" w:eastAsia="仿宋" w:cs="仿宋"/>
        </w:rPr>
        <w:t>获取</w:t>
      </w:r>
      <w:r>
        <w:rPr>
          <w:rFonts w:hint="eastAsia" w:ascii="仿宋" w:hAnsi="仿宋" w:eastAsia="仿宋" w:cs="仿宋"/>
          <w:lang w:eastAsia="zh-CN"/>
        </w:rPr>
        <w:t>竞争性磋商文件</w:t>
      </w:r>
      <w:r>
        <w:rPr>
          <w:rFonts w:hint="eastAsia" w:ascii="仿宋" w:hAnsi="仿宋" w:eastAsia="仿宋" w:cs="仿宋"/>
        </w:rPr>
        <w:t>，并于</w:t>
      </w:r>
      <w:r>
        <w:rPr>
          <w:rFonts w:hint="eastAsia" w:ascii="仿宋" w:hAnsi="仿宋" w:eastAsia="仿宋" w:cs="仿宋"/>
          <w:color w:val="auto"/>
        </w:rPr>
        <w:t>2023 年</w:t>
      </w:r>
      <w:r>
        <w:rPr>
          <w:rFonts w:hint="eastAsia" w:hAnsi="仿宋" w:cs="仿宋"/>
          <w:color w:val="auto"/>
          <w:lang w:val="en-US" w:eastAsia="zh-CN"/>
        </w:rPr>
        <w:t>4</w:t>
      </w:r>
      <w:r>
        <w:rPr>
          <w:rFonts w:hint="eastAsia" w:ascii="仿宋" w:hAnsi="仿宋" w:eastAsia="仿宋" w:cs="仿宋"/>
          <w:color w:val="auto"/>
        </w:rPr>
        <w:t>月</w:t>
      </w:r>
      <w:r>
        <w:rPr>
          <w:rFonts w:hint="eastAsia" w:hAnsi="仿宋" w:cs="仿宋"/>
          <w:color w:val="auto"/>
          <w:lang w:val="en-US" w:eastAsia="zh-CN"/>
        </w:rPr>
        <w:t>11</w:t>
      </w:r>
      <w:r>
        <w:rPr>
          <w:rFonts w:hint="eastAsia" w:ascii="仿宋" w:hAnsi="仿宋" w:eastAsia="仿宋" w:cs="仿宋"/>
          <w:color w:val="auto"/>
        </w:rPr>
        <w:t xml:space="preserve">日 </w:t>
      </w:r>
      <w:r>
        <w:rPr>
          <w:rFonts w:hint="eastAsia" w:hAnsi="仿宋" w:cs="仿宋"/>
          <w:color w:val="auto"/>
          <w:lang w:val="en-US" w:eastAsia="zh-CN"/>
        </w:rPr>
        <w:t>11</w:t>
      </w:r>
      <w:r>
        <w:rPr>
          <w:rFonts w:hint="eastAsia" w:ascii="仿宋" w:hAnsi="仿宋" w:eastAsia="仿宋" w:cs="仿宋"/>
          <w:color w:val="auto"/>
        </w:rPr>
        <w:t xml:space="preserve"> 时 </w:t>
      </w:r>
      <w:r>
        <w:rPr>
          <w:rFonts w:hint="eastAsia" w:hAnsi="仿宋" w:cs="仿宋"/>
          <w:color w:val="auto"/>
          <w:lang w:val="en-US" w:eastAsia="zh-CN"/>
        </w:rPr>
        <w:t>40</w:t>
      </w:r>
      <w:r>
        <w:rPr>
          <w:rFonts w:hint="eastAsia" w:ascii="仿宋" w:hAnsi="仿宋" w:eastAsia="仿宋" w:cs="仿宋"/>
          <w:color w:val="auto"/>
        </w:rPr>
        <w:t xml:space="preserve"> 分前递交响应</w:t>
      </w:r>
      <w:r>
        <w:rPr>
          <w:rFonts w:hint="eastAsia" w:ascii="仿宋" w:hAnsi="仿宋" w:eastAsia="仿宋" w:cs="仿宋"/>
        </w:rPr>
        <w:t>文件。</w:t>
      </w:r>
    </w:p>
    <w:p>
      <w:pPr>
        <w:pStyle w:val="62"/>
        <w:spacing w:line="360" w:lineRule="auto"/>
        <w:ind w:firstLine="480"/>
        <w:rPr>
          <w:rFonts w:hint="eastAsia" w:ascii="仿宋" w:hAnsi="仿宋" w:eastAsia="仿宋" w:cs="仿宋"/>
          <w:b/>
          <w:color w:val="000000"/>
        </w:rPr>
      </w:pPr>
      <w:r>
        <w:rPr>
          <w:rFonts w:hint="eastAsia" w:ascii="仿宋" w:hAnsi="仿宋" w:eastAsia="仿宋" w:cs="仿宋"/>
        </w:rPr>
        <w:t>一、项目基本情况</w:t>
      </w:r>
      <w:bookmarkEnd w:id="13"/>
      <w:bookmarkEnd w:id="14"/>
      <w:bookmarkEnd w:id="15"/>
      <w:bookmarkEnd w:id="16"/>
    </w:p>
    <w:p>
      <w:pPr>
        <w:pStyle w:val="62"/>
        <w:spacing w:line="360" w:lineRule="auto"/>
        <w:ind w:firstLine="480"/>
        <w:rPr>
          <w:rFonts w:hint="eastAsia" w:ascii="仿宋" w:hAnsi="仿宋" w:eastAsia="仿宋" w:cs="仿宋"/>
          <w:color w:val="000000"/>
          <w:lang w:eastAsia="zh-CN"/>
        </w:rPr>
      </w:pPr>
      <w:r>
        <w:rPr>
          <w:rFonts w:hint="eastAsia" w:ascii="仿宋" w:hAnsi="仿宋" w:eastAsia="仿宋" w:cs="仿宋"/>
          <w:color w:val="000000"/>
        </w:rPr>
        <w:t>项目编号：</w:t>
      </w:r>
      <w:r>
        <w:rPr>
          <w:rFonts w:hint="eastAsia" w:ascii="仿宋" w:hAnsi="仿宋" w:eastAsia="仿宋" w:cs="仿宋"/>
          <w:color w:val="000000"/>
          <w:lang w:eastAsia="zh-CN"/>
        </w:rPr>
        <w:t xml:space="preserve"> GZFCG2023-13749(TJGJCG-2023015 )</w:t>
      </w:r>
    </w:p>
    <w:p>
      <w:pPr>
        <w:pStyle w:val="62"/>
        <w:tabs>
          <w:tab w:val="left" w:pos="2977"/>
        </w:tabs>
        <w:spacing w:line="360" w:lineRule="auto"/>
        <w:ind w:firstLine="480"/>
        <w:rPr>
          <w:rFonts w:hint="eastAsia" w:ascii="仿宋" w:hAnsi="仿宋" w:eastAsia="仿宋" w:cs="仿宋"/>
          <w:color w:val="000000"/>
        </w:rPr>
      </w:pPr>
      <w:r>
        <w:rPr>
          <w:rFonts w:hint="eastAsia" w:ascii="仿宋" w:hAnsi="仿宋" w:eastAsia="仿宋" w:cs="仿宋"/>
          <w:color w:val="000000"/>
        </w:rPr>
        <w:t>项目名称：</w:t>
      </w:r>
      <w:r>
        <w:rPr>
          <w:rFonts w:hint="eastAsia" w:ascii="仿宋" w:hAnsi="仿宋" w:eastAsia="仿宋" w:cs="仿宋"/>
          <w:color w:val="000000"/>
          <w:lang w:eastAsia="zh-CN"/>
        </w:rPr>
        <w:t>2023年全区无线电管控设备运维服务采购项目</w:t>
      </w:r>
    </w:p>
    <w:p>
      <w:pPr>
        <w:pStyle w:val="62"/>
        <w:spacing w:line="360" w:lineRule="auto"/>
        <w:ind w:firstLine="480"/>
        <w:rPr>
          <w:rFonts w:hint="eastAsia" w:ascii="仿宋" w:hAnsi="仿宋" w:eastAsia="仿宋" w:cs="仿宋"/>
        </w:rPr>
      </w:pPr>
      <w:r>
        <w:rPr>
          <w:rFonts w:hint="eastAsia" w:ascii="仿宋" w:hAnsi="仿宋" w:eastAsia="仿宋" w:cs="仿宋"/>
        </w:rPr>
        <w:t>采购方式：竞争性磋商</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预算金额：</w:t>
      </w:r>
      <w:r>
        <w:rPr>
          <w:rFonts w:hint="eastAsia" w:ascii="仿宋" w:hAnsi="仿宋" w:eastAsia="仿宋" w:cs="仿宋"/>
          <w:lang w:val="en-US" w:eastAsia="zh-CN"/>
        </w:rPr>
        <w:t>148.00</w:t>
      </w:r>
      <w:r>
        <w:rPr>
          <w:rFonts w:hint="eastAsia" w:ascii="仿宋" w:hAnsi="仿宋" w:eastAsia="仿宋" w:cs="仿宋"/>
          <w:lang w:eastAsia="zh-CN"/>
        </w:rPr>
        <w:t>万元</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最高限价：</w:t>
      </w:r>
      <w:r>
        <w:rPr>
          <w:rFonts w:hint="eastAsia" w:ascii="仿宋" w:hAnsi="仿宋" w:eastAsia="仿宋" w:cs="仿宋"/>
          <w:lang w:val="en-US" w:eastAsia="zh-CN"/>
        </w:rPr>
        <w:t>148.00</w:t>
      </w:r>
      <w:r>
        <w:rPr>
          <w:rFonts w:hint="eastAsia" w:ascii="仿宋" w:hAnsi="仿宋" w:eastAsia="仿宋" w:cs="仿宋"/>
          <w:lang w:eastAsia="zh-CN"/>
        </w:rPr>
        <w:t>万元</w:t>
      </w:r>
    </w:p>
    <w:p>
      <w:pPr>
        <w:pStyle w:val="62"/>
        <w:spacing w:line="360" w:lineRule="auto"/>
        <w:ind w:firstLine="480"/>
        <w:rPr>
          <w:rFonts w:hint="eastAsia" w:ascii="仿宋" w:hAnsi="仿宋" w:eastAsia="仿宋" w:cs="仿宋"/>
        </w:rPr>
      </w:pPr>
      <w:r>
        <w:rPr>
          <w:rFonts w:hint="eastAsia" w:ascii="仿宋" w:hAnsi="仿宋" w:eastAsia="仿宋" w:cs="仿宋"/>
        </w:rPr>
        <w:t>采购需求：</w:t>
      </w:r>
      <w:r>
        <w:rPr>
          <w:rFonts w:hint="eastAsia" w:ascii="仿宋" w:hAnsi="仿宋" w:eastAsia="仿宋" w:cs="仿宋"/>
          <w:lang w:eastAsia="zh-CN"/>
        </w:rPr>
        <w:t>2023年全区无线电管控设备运维服务采购项目</w:t>
      </w:r>
      <w:r>
        <w:rPr>
          <w:rFonts w:hint="eastAsia" w:ascii="仿宋" w:hAnsi="仿宋" w:eastAsia="仿宋" w:cs="仿宋"/>
        </w:rPr>
        <w:t>（详见磋商文件）</w:t>
      </w:r>
    </w:p>
    <w:p>
      <w:pPr>
        <w:pStyle w:val="62"/>
        <w:spacing w:line="360" w:lineRule="auto"/>
        <w:ind w:firstLine="480"/>
        <w:rPr>
          <w:rFonts w:hint="eastAsia" w:ascii="仿宋" w:hAnsi="仿宋" w:eastAsia="仿宋" w:cs="仿宋"/>
          <w:u w:val="single"/>
        </w:rPr>
      </w:pPr>
      <w:r>
        <w:rPr>
          <w:rFonts w:hint="eastAsia" w:ascii="仿宋" w:hAnsi="仿宋" w:eastAsia="仿宋" w:cs="仿宋"/>
        </w:rPr>
        <w:t>合同履行期限：服务期为一年（2023年5月11日-2024年5月11日）</w:t>
      </w:r>
      <w:r>
        <w:rPr>
          <w:rFonts w:hint="eastAsia" w:ascii="仿宋" w:hAnsi="仿宋" w:eastAsia="仿宋" w:cs="仿宋"/>
          <w:lang w:eastAsia="zh-CN"/>
        </w:rPr>
        <w:t>。</w:t>
      </w:r>
      <w:r>
        <w:rPr>
          <w:rFonts w:hint="eastAsia" w:ascii="仿宋" w:hAnsi="仿宋" w:eastAsia="仿宋" w:cs="仿宋"/>
        </w:rPr>
        <w:t xml:space="preserve">  </w:t>
      </w:r>
    </w:p>
    <w:p>
      <w:pPr>
        <w:pStyle w:val="62"/>
        <w:spacing w:line="360" w:lineRule="auto"/>
        <w:ind w:firstLine="480"/>
        <w:rPr>
          <w:rFonts w:hint="eastAsia" w:ascii="仿宋" w:hAnsi="仿宋" w:eastAsia="仿宋" w:cs="仿宋"/>
        </w:rPr>
      </w:pPr>
      <w:r>
        <w:rPr>
          <w:rFonts w:hint="eastAsia" w:ascii="仿宋" w:hAnsi="仿宋" w:eastAsia="仿宋" w:cs="仿宋"/>
        </w:rPr>
        <w:t>本项目不接受联合体。</w:t>
      </w:r>
    </w:p>
    <w:p>
      <w:pPr>
        <w:pStyle w:val="62"/>
        <w:spacing w:line="360" w:lineRule="auto"/>
        <w:ind w:firstLine="480"/>
        <w:rPr>
          <w:rFonts w:hint="eastAsia" w:ascii="仿宋" w:hAnsi="仿宋" w:eastAsia="仿宋" w:cs="仿宋"/>
          <w:b/>
        </w:rPr>
      </w:pPr>
      <w:bookmarkStart w:id="17" w:name="_Toc28359013"/>
      <w:bookmarkStart w:id="18" w:name="_Toc35393630"/>
      <w:bookmarkStart w:id="19" w:name="_Toc35393799"/>
      <w:bookmarkStart w:id="20" w:name="_Toc28359090"/>
      <w:r>
        <w:rPr>
          <w:rFonts w:hint="eastAsia" w:ascii="仿宋" w:hAnsi="仿宋" w:eastAsia="仿宋" w:cs="仿宋"/>
        </w:rPr>
        <w:t>二、申请人的资格要求：</w:t>
      </w:r>
      <w:bookmarkEnd w:id="17"/>
      <w:bookmarkEnd w:id="18"/>
      <w:bookmarkEnd w:id="19"/>
      <w:bookmarkEnd w:id="20"/>
    </w:p>
    <w:p>
      <w:pPr>
        <w:pStyle w:val="62"/>
        <w:spacing w:line="360" w:lineRule="auto"/>
        <w:ind w:firstLine="480"/>
        <w:rPr>
          <w:rFonts w:hint="eastAsia" w:ascii="仿宋" w:hAnsi="仿宋" w:eastAsia="仿宋" w:cs="仿宋"/>
        </w:rPr>
      </w:pPr>
      <w:r>
        <w:rPr>
          <w:rFonts w:hint="eastAsia" w:ascii="仿宋" w:hAnsi="仿宋" w:eastAsia="仿宋" w:cs="仿宋"/>
        </w:rPr>
        <w:t>1.满足《中华人民共和国政府采购法》第二十二条规定；</w:t>
      </w:r>
    </w:p>
    <w:p>
      <w:pPr>
        <w:pStyle w:val="62"/>
        <w:spacing w:line="360" w:lineRule="auto"/>
        <w:ind w:firstLine="480"/>
        <w:rPr>
          <w:rFonts w:hint="eastAsia" w:ascii="仿宋" w:hAnsi="仿宋" w:eastAsia="仿宋" w:cs="仿宋"/>
        </w:rPr>
      </w:pPr>
      <w:bookmarkStart w:id="21" w:name="_Toc28359014"/>
      <w:bookmarkStart w:id="22" w:name="_Toc28359091"/>
      <w:r>
        <w:rPr>
          <w:rFonts w:hint="eastAsia" w:ascii="仿宋" w:hAnsi="仿宋" w:eastAsia="仿宋" w:cs="仿宋"/>
        </w:rPr>
        <w:t>2.落实政府采购政策需满足的资格要求：</w:t>
      </w:r>
    </w:p>
    <w:p>
      <w:pPr>
        <w:pStyle w:val="62"/>
        <w:spacing w:line="360" w:lineRule="auto"/>
        <w:ind w:firstLine="480"/>
        <w:rPr>
          <w:rFonts w:hint="eastAsia" w:ascii="仿宋" w:hAnsi="仿宋" w:eastAsia="仿宋" w:cs="仿宋"/>
        </w:rPr>
      </w:pPr>
      <w:r>
        <w:rPr>
          <w:rFonts w:hint="eastAsia" w:ascii="仿宋" w:hAnsi="仿宋" w:eastAsia="仿宋" w:cs="仿宋"/>
        </w:rPr>
        <w:t>1）按照《中华人民共和国政府采购法》、《中华人民共和国政府采购法实施条例》等有关法律、法规和政策；</w:t>
      </w:r>
    </w:p>
    <w:p>
      <w:pPr>
        <w:pStyle w:val="62"/>
        <w:spacing w:line="360" w:lineRule="auto"/>
        <w:ind w:firstLine="480"/>
        <w:rPr>
          <w:rFonts w:hint="eastAsia" w:ascii="仿宋" w:hAnsi="仿宋" w:eastAsia="仿宋" w:cs="仿宋"/>
        </w:rPr>
      </w:pPr>
      <w:r>
        <w:rPr>
          <w:rFonts w:hint="eastAsia" w:ascii="仿宋" w:hAnsi="仿宋" w:eastAsia="仿宋" w:cs="仿宋"/>
        </w:rPr>
        <w:t>2）本项目执行《政府采购促进中小企业发展管理办法》（财库〔2020〕46号）、《关于进一步加大政府采购支持中小企业力度的通知》（财库〔2022〕19号）、《关于政府采购支持监狱企业发展有关问题的通知》（财库〔2014〕68号）、《关于促进残疾人就业政府采购政策的通知》（财库〔2017〕141号）和《关于调整优化节能产品、环境标志产品政府采购执行机制的通知》（财库〔2019〕9号）、《商品包装政府采购需求标准（试行）》、《快递包装政府采购需求标准（试行）》的通知财办库【2020】123号及藏财采办【2020】138号的规定等政策；</w:t>
      </w:r>
    </w:p>
    <w:p>
      <w:pPr>
        <w:pStyle w:val="62"/>
        <w:spacing w:line="360" w:lineRule="auto"/>
        <w:ind w:firstLine="480"/>
        <w:rPr>
          <w:rFonts w:hint="eastAsia" w:ascii="仿宋" w:hAnsi="仿宋" w:eastAsia="仿宋" w:cs="仿宋"/>
        </w:rPr>
      </w:pPr>
      <w:r>
        <w:rPr>
          <w:rFonts w:hint="eastAsia" w:ascii="仿宋" w:hAnsi="仿宋" w:eastAsia="仿宋" w:cs="仿宋"/>
        </w:rPr>
        <w:t>3）特殊资格条件：</w:t>
      </w:r>
      <w:r>
        <w:rPr>
          <w:rFonts w:hint="eastAsia" w:ascii="仿宋" w:hAnsi="仿宋" w:eastAsia="仿宋" w:cs="仿宋"/>
          <w:lang w:val="en-US" w:eastAsia="zh-CN"/>
        </w:rPr>
        <w:t>无</w:t>
      </w:r>
    </w:p>
    <w:p>
      <w:pPr>
        <w:pStyle w:val="62"/>
        <w:spacing w:line="360" w:lineRule="auto"/>
        <w:ind w:firstLine="480"/>
        <w:rPr>
          <w:rFonts w:hint="eastAsia" w:ascii="仿宋" w:hAnsi="仿宋" w:eastAsia="仿宋" w:cs="仿宋"/>
        </w:rPr>
      </w:pPr>
      <w:bookmarkStart w:id="23" w:name="_Toc35393631"/>
      <w:bookmarkStart w:id="24" w:name="_Toc35393800"/>
      <w:r>
        <w:rPr>
          <w:rFonts w:hint="eastAsia" w:ascii="仿宋" w:hAnsi="仿宋" w:eastAsia="仿宋" w:cs="仿宋"/>
        </w:rPr>
        <w:t>三、获取采购文件</w:t>
      </w:r>
      <w:bookmarkEnd w:id="21"/>
      <w:bookmarkEnd w:id="22"/>
      <w:bookmarkEnd w:id="23"/>
      <w:bookmarkEnd w:id="24"/>
    </w:p>
    <w:p>
      <w:pPr>
        <w:pStyle w:val="62"/>
        <w:spacing w:line="360" w:lineRule="auto"/>
        <w:ind w:firstLine="480"/>
        <w:rPr>
          <w:rFonts w:hint="eastAsia" w:ascii="仿宋" w:hAnsi="仿宋" w:eastAsia="仿宋" w:cs="仿宋"/>
          <w:color w:val="auto"/>
        </w:rPr>
      </w:pPr>
      <w:bookmarkStart w:id="25" w:name="_Toc35393632"/>
      <w:bookmarkStart w:id="26" w:name="_Toc28359015"/>
      <w:bookmarkStart w:id="27" w:name="_Toc35393801"/>
      <w:bookmarkStart w:id="28" w:name="_Toc28359092"/>
      <w:r>
        <w:rPr>
          <w:rFonts w:hint="eastAsia" w:ascii="仿宋" w:hAnsi="仿宋" w:eastAsia="仿宋" w:cs="仿宋"/>
          <w:color w:val="auto"/>
        </w:rPr>
        <w:t>时间: 2023年</w:t>
      </w:r>
      <w:r>
        <w:rPr>
          <w:rFonts w:hint="eastAsia" w:hAnsi="仿宋" w:cs="仿宋"/>
          <w:color w:val="auto"/>
          <w:lang w:val="en-US" w:eastAsia="zh-CN"/>
        </w:rPr>
        <w:t>3</w:t>
      </w:r>
      <w:r>
        <w:rPr>
          <w:rFonts w:hint="eastAsia" w:ascii="仿宋" w:hAnsi="仿宋" w:eastAsia="仿宋" w:cs="仿宋"/>
          <w:color w:val="auto"/>
        </w:rPr>
        <w:t>月</w:t>
      </w:r>
      <w:r>
        <w:rPr>
          <w:rFonts w:hint="eastAsia" w:hAnsi="仿宋" w:cs="仿宋"/>
          <w:color w:val="auto"/>
          <w:lang w:val="en-US" w:eastAsia="zh-CN"/>
        </w:rPr>
        <w:t>31</w:t>
      </w:r>
      <w:r>
        <w:rPr>
          <w:rFonts w:hint="eastAsia" w:ascii="仿宋" w:hAnsi="仿宋" w:eastAsia="仿宋" w:cs="仿宋"/>
          <w:color w:val="auto"/>
        </w:rPr>
        <w:t>日至 2023年</w:t>
      </w:r>
      <w:r>
        <w:rPr>
          <w:rFonts w:hint="eastAsia" w:hAnsi="仿宋" w:cs="仿宋"/>
          <w:color w:val="auto"/>
          <w:lang w:val="en-US" w:eastAsia="zh-CN"/>
        </w:rPr>
        <w:t>4</w:t>
      </w:r>
      <w:r>
        <w:rPr>
          <w:rFonts w:hint="eastAsia" w:ascii="仿宋" w:hAnsi="仿宋" w:eastAsia="仿宋" w:cs="仿宋"/>
          <w:color w:val="auto"/>
        </w:rPr>
        <w:t>月</w:t>
      </w:r>
      <w:r>
        <w:rPr>
          <w:rFonts w:hint="eastAsia" w:hAnsi="仿宋" w:cs="仿宋"/>
          <w:color w:val="auto"/>
          <w:lang w:val="en-US" w:eastAsia="zh-CN"/>
        </w:rPr>
        <w:t>10</w:t>
      </w:r>
      <w:r>
        <w:rPr>
          <w:rFonts w:hint="eastAsia" w:ascii="仿宋" w:hAnsi="仿宋" w:eastAsia="仿宋" w:cs="仿宋"/>
          <w:color w:val="auto"/>
        </w:rPr>
        <w:t xml:space="preserve"> 日</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 xml:space="preserve">地点: </w:t>
      </w:r>
      <w:r>
        <w:rPr>
          <w:rFonts w:hint="eastAsia" w:ascii="仿宋" w:hAnsi="仿宋" w:eastAsia="仿宋" w:cs="仿宋"/>
          <w:lang w:eastAsia="zh-CN"/>
        </w:rPr>
        <w:t>西藏自治区公共资源交易网（http://ggzy.xizang.gov.cn）</w:t>
      </w:r>
    </w:p>
    <w:p>
      <w:pPr>
        <w:pStyle w:val="62"/>
        <w:spacing w:line="360" w:lineRule="auto"/>
        <w:ind w:firstLine="480"/>
        <w:rPr>
          <w:rFonts w:hint="eastAsia" w:ascii="仿宋" w:hAnsi="仿宋" w:eastAsia="仿宋" w:cs="仿宋"/>
        </w:rPr>
      </w:pPr>
      <w:r>
        <w:rPr>
          <w:rFonts w:hint="eastAsia" w:ascii="仿宋" w:hAnsi="仿宋" w:eastAsia="仿宋" w:cs="仿宋"/>
        </w:rPr>
        <w:t>方式: 网上下载</w:t>
      </w:r>
    </w:p>
    <w:p>
      <w:pPr>
        <w:pStyle w:val="62"/>
        <w:spacing w:line="360" w:lineRule="auto"/>
        <w:ind w:firstLine="480"/>
        <w:rPr>
          <w:rFonts w:hint="eastAsia" w:ascii="仿宋" w:hAnsi="仿宋" w:eastAsia="仿宋" w:cs="仿宋"/>
        </w:rPr>
      </w:pPr>
      <w:r>
        <w:rPr>
          <w:rFonts w:hint="eastAsia" w:ascii="仿宋" w:hAnsi="仿宋" w:eastAsia="仿宋" w:cs="仿宋"/>
        </w:rPr>
        <w:t xml:space="preserve">售价: </w:t>
      </w:r>
      <w:r>
        <w:rPr>
          <w:rFonts w:hint="eastAsia" w:ascii="仿宋" w:hAnsi="仿宋" w:eastAsia="仿宋" w:cs="仿宋"/>
          <w:lang w:val="en-US" w:eastAsia="zh-CN"/>
        </w:rPr>
        <w:t>0.00</w:t>
      </w:r>
      <w:r>
        <w:rPr>
          <w:rFonts w:hint="eastAsia" w:ascii="仿宋" w:hAnsi="仿宋" w:eastAsia="仿宋" w:cs="仿宋"/>
        </w:rPr>
        <w:t>元</w:t>
      </w:r>
    </w:p>
    <w:p>
      <w:pPr>
        <w:pStyle w:val="62"/>
        <w:spacing w:line="360" w:lineRule="auto"/>
        <w:ind w:firstLine="480"/>
        <w:rPr>
          <w:rFonts w:hint="eastAsia" w:ascii="仿宋" w:hAnsi="仿宋" w:eastAsia="仿宋" w:cs="仿宋"/>
        </w:rPr>
      </w:pPr>
      <w:r>
        <w:rPr>
          <w:rFonts w:hint="eastAsia" w:ascii="仿宋" w:hAnsi="仿宋" w:eastAsia="仿宋" w:cs="仿宋"/>
        </w:rPr>
        <w:t>四、</w:t>
      </w:r>
      <w:bookmarkEnd w:id="25"/>
      <w:bookmarkEnd w:id="26"/>
      <w:bookmarkEnd w:id="27"/>
      <w:bookmarkEnd w:id="28"/>
      <w:r>
        <w:rPr>
          <w:rFonts w:hint="eastAsia" w:ascii="仿宋" w:hAnsi="仿宋" w:eastAsia="仿宋" w:cs="仿宋"/>
        </w:rPr>
        <w:t>提交</w:t>
      </w:r>
      <w:r>
        <w:rPr>
          <w:rFonts w:hint="eastAsia" w:ascii="仿宋" w:hAnsi="仿宋" w:eastAsia="仿宋" w:cs="仿宋"/>
          <w:lang w:val="en-US" w:eastAsia="zh-CN"/>
        </w:rPr>
        <w:t>响应</w:t>
      </w:r>
      <w:r>
        <w:rPr>
          <w:rFonts w:hint="eastAsia" w:ascii="仿宋" w:hAnsi="仿宋" w:eastAsia="仿宋" w:cs="仿宋"/>
        </w:rPr>
        <w:t>文件截止时间、开标时间和地点</w:t>
      </w:r>
    </w:p>
    <w:p>
      <w:pPr>
        <w:pStyle w:val="62"/>
        <w:spacing w:line="360" w:lineRule="auto"/>
        <w:ind w:firstLine="480"/>
        <w:rPr>
          <w:rFonts w:hint="eastAsia" w:ascii="仿宋" w:hAnsi="仿宋" w:eastAsia="仿宋" w:cs="仿宋"/>
          <w:color w:val="auto"/>
        </w:rPr>
      </w:pPr>
      <w:bookmarkStart w:id="29" w:name="_Toc28359016"/>
      <w:bookmarkStart w:id="30" w:name="_Toc35393802"/>
      <w:bookmarkStart w:id="31" w:name="_Toc28359093"/>
      <w:bookmarkStart w:id="32" w:name="_Toc35393633"/>
      <w:r>
        <w:rPr>
          <w:rFonts w:hint="eastAsia" w:ascii="仿宋" w:hAnsi="仿宋" w:eastAsia="仿宋" w:cs="仿宋"/>
          <w:color w:val="auto"/>
        </w:rPr>
        <w:t>时间: 2023年</w:t>
      </w:r>
      <w:r>
        <w:rPr>
          <w:rFonts w:hint="eastAsia" w:hAnsi="仿宋" w:cs="仿宋"/>
          <w:color w:val="auto"/>
          <w:lang w:val="en-US" w:eastAsia="zh-CN"/>
        </w:rPr>
        <w:t>4</w:t>
      </w:r>
      <w:r>
        <w:rPr>
          <w:rFonts w:hint="eastAsia" w:ascii="仿宋" w:hAnsi="仿宋" w:eastAsia="仿宋" w:cs="仿宋"/>
          <w:color w:val="auto"/>
        </w:rPr>
        <w:t>月</w:t>
      </w:r>
      <w:r>
        <w:rPr>
          <w:rFonts w:hint="eastAsia" w:hAnsi="仿宋" w:cs="仿宋"/>
          <w:color w:val="auto"/>
          <w:lang w:val="en-US" w:eastAsia="zh-CN"/>
        </w:rPr>
        <w:t>11</w:t>
      </w:r>
      <w:r>
        <w:rPr>
          <w:rFonts w:hint="eastAsia" w:ascii="仿宋" w:hAnsi="仿宋" w:eastAsia="仿宋" w:cs="仿宋"/>
          <w:color w:val="auto"/>
        </w:rPr>
        <w:t xml:space="preserve">日 </w:t>
      </w:r>
      <w:r>
        <w:rPr>
          <w:rFonts w:hint="eastAsia" w:hAnsi="仿宋" w:cs="仿宋"/>
          <w:color w:val="auto"/>
          <w:lang w:val="en-US" w:eastAsia="zh-CN"/>
        </w:rPr>
        <w:t>11</w:t>
      </w:r>
      <w:r>
        <w:rPr>
          <w:rFonts w:hint="eastAsia" w:ascii="仿宋" w:hAnsi="仿宋" w:eastAsia="仿宋" w:cs="仿宋"/>
          <w:color w:val="auto"/>
        </w:rPr>
        <w:t xml:space="preserve"> 时 </w:t>
      </w:r>
      <w:r>
        <w:rPr>
          <w:rFonts w:hint="eastAsia" w:hAnsi="仿宋" w:cs="仿宋"/>
          <w:color w:val="auto"/>
          <w:lang w:val="en-US" w:eastAsia="zh-CN"/>
        </w:rPr>
        <w:t>40</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分</w:t>
      </w:r>
    </w:p>
    <w:p>
      <w:pPr>
        <w:pStyle w:val="62"/>
        <w:spacing w:line="360" w:lineRule="auto"/>
        <w:ind w:firstLine="480"/>
        <w:rPr>
          <w:rFonts w:hint="eastAsia" w:ascii="仿宋" w:hAnsi="仿宋" w:eastAsia="仿宋" w:cs="仿宋"/>
        </w:rPr>
      </w:pPr>
      <w:r>
        <w:rPr>
          <w:rFonts w:hint="eastAsia" w:ascii="仿宋" w:hAnsi="仿宋" w:eastAsia="仿宋" w:cs="仿宋"/>
        </w:rPr>
        <w:t xml:space="preserve">地点: </w:t>
      </w:r>
      <w:r>
        <w:rPr>
          <w:rFonts w:hint="eastAsia" w:ascii="仿宋" w:hAnsi="仿宋" w:eastAsia="仿宋" w:cs="仿宋"/>
          <w:lang w:eastAsia="zh-CN"/>
        </w:rPr>
        <w:t>供应商</w:t>
      </w:r>
      <w:r>
        <w:rPr>
          <w:rFonts w:hint="eastAsia" w:ascii="仿宋" w:hAnsi="仿宋" w:eastAsia="仿宋" w:cs="仿宋"/>
        </w:rPr>
        <w:t>请登录</w:t>
      </w:r>
      <w:r>
        <w:rPr>
          <w:rFonts w:hint="eastAsia" w:ascii="仿宋" w:hAnsi="仿宋" w:eastAsia="仿宋" w:cs="仿宋"/>
          <w:b w:val="0"/>
          <w:color w:val="auto"/>
          <w:sz w:val="24"/>
          <w:szCs w:val="24"/>
          <w:lang w:val="en-US" w:eastAsia="zh-CN"/>
        </w:rPr>
        <w:t>西藏自治区公共资源交易网（http://ggzy.xizang.gov.cn）</w:t>
      </w:r>
      <w:r>
        <w:rPr>
          <w:rFonts w:hint="eastAsia" w:ascii="仿宋" w:hAnsi="仿宋" w:eastAsia="仿宋" w:cs="仿宋"/>
        </w:rPr>
        <w:t>提交电子</w:t>
      </w:r>
      <w:r>
        <w:rPr>
          <w:rFonts w:hint="eastAsia" w:ascii="仿宋" w:hAnsi="仿宋" w:eastAsia="仿宋" w:cs="仿宋"/>
          <w:lang w:eastAsia="zh-CN"/>
        </w:rPr>
        <w:t>响应文件</w:t>
      </w:r>
      <w:r>
        <w:rPr>
          <w:rFonts w:hint="eastAsia" w:ascii="仿宋" w:hAnsi="仿宋" w:eastAsia="仿宋" w:cs="仿宋"/>
        </w:rPr>
        <w:t>。）</w:t>
      </w:r>
    </w:p>
    <w:bookmarkEnd w:id="29"/>
    <w:bookmarkEnd w:id="30"/>
    <w:bookmarkEnd w:id="31"/>
    <w:bookmarkEnd w:id="32"/>
    <w:p>
      <w:pPr>
        <w:pStyle w:val="62"/>
        <w:spacing w:line="360" w:lineRule="auto"/>
        <w:ind w:firstLine="480"/>
        <w:rPr>
          <w:rFonts w:hint="eastAsia" w:ascii="仿宋" w:hAnsi="仿宋" w:eastAsia="仿宋" w:cs="仿宋"/>
        </w:rPr>
      </w:pPr>
      <w:bookmarkStart w:id="33" w:name="_Toc28359094"/>
      <w:bookmarkStart w:id="34" w:name="_Toc35393634"/>
      <w:bookmarkStart w:id="35" w:name="_Toc28359017"/>
      <w:bookmarkStart w:id="36" w:name="_Toc35393803"/>
      <w:r>
        <w:rPr>
          <w:rFonts w:hint="eastAsia" w:ascii="仿宋" w:hAnsi="仿宋" w:eastAsia="仿宋" w:cs="仿宋"/>
          <w:lang w:val="en-US" w:eastAsia="zh-CN"/>
        </w:rPr>
        <w:t>五</w:t>
      </w:r>
      <w:r>
        <w:rPr>
          <w:rFonts w:hint="eastAsia" w:ascii="仿宋" w:hAnsi="仿宋" w:eastAsia="仿宋" w:cs="仿宋"/>
        </w:rPr>
        <w:t>、公告期限</w:t>
      </w:r>
      <w:bookmarkEnd w:id="33"/>
      <w:bookmarkEnd w:id="34"/>
      <w:bookmarkEnd w:id="35"/>
      <w:bookmarkEnd w:id="36"/>
    </w:p>
    <w:p>
      <w:pPr>
        <w:pStyle w:val="62"/>
        <w:spacing w:line="360" w:lineRule="auto"/>
        <w:ind w:firstLine="480"/>
        <w:rPr>
          <w:rFonts w:hint="eastAsia" w:ascii="仿宋" w:hAnsi="仿宋" w:eastAsia="仿宋" w:cs="仿宋"/>
        </w:rPr>
      </w:pPr>
      <w:r>
        <w:rPr>
          <w:rFonts w:hint="eastAsia" w:ascii="仿宋" w:hAnsi="仿宋" w:eastAsia="仿宋" w:cs="仿宋"/>
        </w:rPr>
        <w:t>自本公告发布之日起5个工作日。</w:t>
      </w:r>
    </w:p>
    <w:p>
      <w:pPr>
        <w:pStyle w:val="62"/>
        <w:spacing w:line="360" w:lineRule="auto"/>
        <w:ind w:firstLine="480"/>
        <w:rPr>
          <w:rFonts w:hint="eastAsia" w:ascii="仿宋" w:hAnsi="仿宋" w:eastAsia="仿宋" w:cs="仿宋"/>
        </w:rPr>
      </w:pPr>
      <w:bookmarkStart w:id="37" w:name="_Toc35393804"/>
      <w:bookmarkStart w:id="38" w:name="_Toc35393635"/>
      <w:r>
        <w:rPr>
          <w:rFonts w:hint="eastAsia" w:ascii="仿宋" w:hAnsi="仿宋" w:eastAsia="仿宋" w:cs="仿宋"/>
          <w:lang w:val="en-US" w:eastAsia="zh-CN"/>
        </w:rPr>
        <w:t>六</w:t>
      </w:r>
      <w:r>
        <w:rPr>
          <w:rFonts w:hint="eastAsia" w:ascii="仿宋" w:hAnsi="仿宋" w:eastAsia="仿宋" w:cs="仿宋"/>
        </w:rPr>
        <w:t>、其他补充事宜</w:t>
      </w:r>
      <w:bookmarkEnd w:id="37"/>
      <w:bookmarkEnd w:id="38"/>
    </w:p>
    <w:p>
      <w:pPr>
        <w:pStyle w:val="106"/>
        <w:numPr>
          <w:ilvl w:val="2"/>
          <w:numId w:val="0"/>
        </w:numPr>
        <w:spacing w:line="360" w:lineRule="auto"/>
        <w:ind w:left="-2" w:leftChars="-1" w:firstLine="240" w:firstLineChars="100"/>
        <w:rPr>
          <w:rFonts w:hint="eastAsia" w:ascii="仿宋" w:hAnsi="仿宋" w:eastAsia="仿宋" w:cs="仿宋"/>
          <w:color w:val="auto"/>
        </w:rPr>
      </w:pPr>
      <w:bookmarkStart w:id="39" w:name="_Toc28359018"/>
      <w:bookmarkStart w:id="40" w:name="_Toc28359095"/>
      <w:bookmarkStart w:id="41" w:name="_Toc35393636"/>
      <w:bookmarkStart w:id="42" w:name="_Toc35393805"/>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6.1发布媒体：西藏自治区政府采购网、</w:t>
      </w:r>
      <w:r>
        <w:rPr>
          <w:rFonts w:hint="eastAsia" w:ascii="仿宋" w:hAnsi="仿宋" w:eastAsia="仿宋" w:cs="仿宋"/>
          <w:color w:val="auto"/>
          <w:lang w:val="en-US" w:eastAsia="zh-CN"/>
        </w:rPr>
        <w:t>西藏自治区</w:t>
      </w:r>
      <w:r>
        <w:rPr>
          <w:rFonts w:hint="eastAsia" w:ascii="仿宋" w:hAnsi="仿宋" w:eastAsia="仿宋" w:cs="仿宋"/>
          <w:color w:val="auto"/>
        </w:rPr>
        <w:t>公共资源交易网；</w:t>
      </w:r>
    </w:p>
    <w:p>
      <w:pPr>
        <w:pStyle w:val="106"/>
        <w:numPr>
          <w:ilvl w:val="0"/>
          <w:numId w:val="0"/>
        </w:numPr>
        <w:spacing w:line="360" w:lineRule="auto"/>
        <w:ind w:firstLine="720" w:firstLineChars="300"/>
        <w:rPr>
          <w:rFonts w:hint="eastAsia" w:ascii="仿宋" w:hAnsi="仿宋" w:eastAsia="仿宋" w:cs="仿宋"/>
          <w:color w:val="auto"/>
        </w:rPr>
      </w:pPr>
      <w:r>
        <w:rPr>
          <w:rFonts w:hint="eastAsia" w:ascii="仿宋" w:hAnsi="仿宋" w:eastAsia="仿宋" w:cs="仿宋"/>
          <w:color w:val="auto"/>
        </w:rPr>
        <w:t>6.2执行《中华人民共和国政府采购法》、《中华人民共和国政府采购法实施条例》等有关法律、法规及财政部相关规定；</w:t>
      </w:r>
    </w:p>
    <w:p>
      <w:pPr>
        <w:pStyle w:val="106"/>
        <w:numPr>
          <w:ilvl w:val="0"/>
          <w:numId w:val="0"/>
        </w:numPr>
        <w:spacing w:line="360" w:lineRule="auto"/>
        <w:ind w:firstLine="662" w:firstLineChars="276"/>
        <w:rPr>
          <w:rFonts w:hint="eastAsia" w:ascii="仿宋" w:hAnsi="仿宋" w:eastAsia="仿宋" w:cs="仿宋"/>
          <w:color w:val="auto"/>
        </w:rPr>
      </w:pPr>
      <w:bookmarkStart w:id="43" w:name="_Hlk78291690"/>
      <w:r>
        <w:rPr>
          <w:rFonts w:hint="eastAsia" w:ascii="仿宋" w:hAnsi="仿宋" w:eastAsia="仿宋" w:cs="仿宋"/>
          <w:color w:val="auto"/>
        </w:rPr>
        <w:t>6.3执行《政府采购促进中小企业发展管理办法》、《关于进一步加大政府采购支持中小企业力度的通知》、《关于政府采购支持监狱企业发展有关问题的通知》、《关于促进残疾人就业政府采购政策的通知》、《关于调整优化节能产品、环境标志产品政府采购执行机制的通知》；</w:t>
      </w:r>
    </w:p>
    <w:bookmarkEnd w:id="43"/>
    <w:p>
      <w:pPr>
        <w:pStyle w:val="106"/>
        <w:numPr>
          <w:ilvl w:val="0"/>
          <w:numId w:val="0"/>
        </w:numPr>
        <w:spacing w:line="360" w:lineRule="auto"/>
        <w:ind w:firstLine="662" w:firstLineChars="276"/>
        <w:rPr>
          <w:rFonts w:hint="eastAsia" w:ascii="仿宋" w:hAnsi="仿宋" w:eastAsia="仿宋" w:cs="仿宋"/>
          <w:color w:val="auto"/>
        </w:rPr>
      </w:pPr>
      <w:bookmarkStart w:id="44" w:name="_Hlk78291703"/>
      <w:r>
        <w:rPr>
          <w:rFonts w:hint="eastAsia" w:ascii="仿宋" w:hAnsi="仿宋" w:eastAsia="仿宋" w:cs="仿宋"/>
          <w:color w:val="auto"/>
        </w:rPr>
        <w:t>6.4执行关于印发《商品包装政府采购需求标准（试行）》、《快递包装政府采购需求标准（试行）》的通知财办库【2020】123号及藏财采办【2020】138号的规定；</w:t>
      </w:r>
    </w:p>
    <w:bookmarkEnd w:id="44"/>
    <w:p>
      <w:pPr>
        <w:pStyle w:val="106"/>
        <w:numPr>
          <w:ilvl w:val="0"/>
          <w:numId w:val="0"/>
        </w:numPr>
        <w:spacing w:line="360" w:lineRule="auto"/>
        <w:ind w:firstLine="662" w:firstLineChars="276"/>
        <w:rPr>
          <w:rFonts w:hint="eastAsia" w:ascii="仿宋" w:hAnsi="仿宋" w:eastAsia="仿宋" w:cs="仿宋"/>
          <w:color w:val="auto"/>
        </w:rPr>
      </w:pPr>
      <w:r>
        <w:rPr>
          <w:rFonts w:hint="eastAsia" w:ascii="仿宋" w:hAnsi="仿宋" w:eastAsia="仿宋" w:cs="仿宋"/>
          <w:color w:val="auto"/>
        </w:rPr>
        <w:t>6.5本次</w:t>
      </w:r>
      <w:r>
        <w:rPr>
          <w:rFonts w:hint="eastAsia" w:ascii="仿宋" w:hAnsi="仿宋" w:eastAsia="仿宋" w:cs="仿宋"/>
          <w:color w:val="auto"/>
          <w:lang w:eastAsia="zh-CN"/>
        </w:rPr>
        <w:t>磋商公告</w:t>
      </w:r>
      <w:r>
        <w:rPr>
          <w:rFonts w:hint="eastAsia" w:ascii="仿宋" w:hAnsi="仿宋" w:eastAsia="仿宋" w:cs="仿宋"/>
          <w:color w:val="auto"/>
        </w:rPr>
        <w:t>在</w:t>
      </w:r>
      <w:r>
        <w:rPr>
          <w:rFonts w:hint="eastAsia" w:ascii="仿宋" w:hAnsi="仿宋" w:eastAsia="仿宋" w:cs="仿宋"/>
          <w:color w:val="auto"/>
          <w:lang w:eastAsia="zh-CN"/>
        </w:rPr>
        <w:t>《</w:t>
      </w:r>
      <w:r>
        <w:rPr>
          <w:rFonts w:hint="eastAsia" w:ascii="仿宋" w:hAnsi="仿宋" w:eastAsia="仿宋" w:cs="仿宋"/>
          <w:color w:val="000000" w:themeColor="text1"/>
          <w14:textFill>
            <w14:solidFill>
              <w14:schemeClr w14:val="tx1"/>
            </w14:solidFill>
          </w14:textFill>
        </w:rPr>
        <w:t>西藏自治区公共资源交易网（http://ggzy.xizang.gov.cn）</w:t>
      </w:r>
      <w:r>
        <w:rPr>
          <w:rFonts w:hint="eastAsia" w:ascii="仿宋" w:hAnsi="仿宋" w:eastAsia="仿宋" w:cs="仿宋"/>
          <w:color w:val="auto"/>
        </w:rPr>
        <w:t>发布</w:t>
      </w:r>
      <w:r>
        <w:rPr>
          <w:rFonts w:hint="eastAsia" w:ascii="仿宋" w:hAnsi="仿宋" w:eastAsia="仿宋" w:cs="仿宋"/>
          <w:color w:val="auto"/>
          <w:lang w:eastAsia="zh-CN"/>
        </w:rPr>
        <w:t>》</w:t>
      </w:r>
      <w:r>
        <w:rPr>
          <w:rFonts w:hint="eastAsia" w:ascii="仿宋" w:hAnsi="仿宋" w:eastAsia="仿宋" w:cs="仿宋"/>
          <w:color w:val="auto"/>
        </w:rPr>
        <w:t>。潜在</w:t>
      </w:r>
      <w:r>
        <w:rPr>
          <w:rFonts w:hint="eastAsia" w:ascii="仿宋" w:hAnsi="仿宋" w:eastAsia="仿宋" w:cs="仿宋"/>
          <w:color w:val="auto"/>
          <w:lang w:eastAsia="zh-CN"/>
        </w:rPr>
        <w:t>供应商</w:t>
      </w:r>
      <w:r>
        <w:rPr>
          <w:rFonts w:hint="eastAsia" w:ascii="仿宋" w:hAnsi="仿宋" w:eastAsia="仿宋" w:cs="仿宋"/>
          <w:color w:val="auto"/>
        </w:rPr>
        <w:t>自行留意查看上述</w:t>
      </w:r>
      <w:r>
        <w:rPr>
          <w:rFonts w:hint="eastAsia" w:ascii="仿宋" w:hAnsi="仿宋" w:eastAsia="仿宋" w:cs="仿宋"/>
          <w:color w:val="auto"/>
          <w:lang w:eastAsia="zh-CN"/>
        </w:rPr>
        <w:t>磋商公告</w:t>
      </w:r>
      <w:r>
        <w:rPr>
          <w:rFonts w:hint="eastAsia" w:ascii="仿宋" w:hAnsi="仿宋" w:eastAsia="仿宋" w:cs="仿宋"/>
          <w:color w:val="auto"/>
        </w:rPr>
        <w:t>发布媒体是否有本项目后续的澄清、更正、终止、中标（成交）公告。（因电子化交易代理机构无法主动联系已获取</w:t>
      </w:r>
      <w:r>
        <w:rPr>
          <w:rFonts w:hint="eastAsia" w:ascii="仿宋" w:hAnsi="仿宋" w:eastAsia="仿宋" w:cs="仿宋"/>
          <w:color w:val="auto"/>
          <w:lang w:eastAsia="zh-CN"/>
        </w:rPr>
        <w:t>竞争性磋商文件</w:t>
      </w:r>
      <w:r>
        <w:rPr>
          <w:rFonts w:hint="eastAsia" w:ascii="仿宋" w:hAnsi="仿宋" w:eastAsia="仿宋" w:cs="仿宋"/>
          <w:color w:val="auto"/>
        </w:rPr>
        <w:t>的潜在供应商，本项目相关澄清、更正、终止等信息无法以书面形式通知所有获取</w:t>
      </w:r>
      <w:r>
        <w:rPr>
          <w:rFonts w:hint="eastAsia" w:ascii="仿宋" w:hAnsi="仿宋" w:eastAsia="仿宋" w:cs="仿宋"/>
          <w:color w:val="auto"/>
          <w:lang w:eastAsia="zh-CN"/>
        </w:rPr>
        <w:t>竞争性磋商文件</w:t>
      </w:r>
      <w:r>
        <w:rPr>
          <w:rFonts w:hint="eastAsia" w:ascii="仿宋" w:hAnsi="仿宋" w:eastAsia="仿宋" w:cs="仿宋"/>
          <w:color w:val="auto"/>
        </w:rPr>
        <w:t>的潜在</w:t>
      </w:r>
      <w:r>
        <w:rPr>
          <w:rFonts w:hint="eastAsia" w:ascii="仿宋" w:hAnsi="仿宋" w:eastAsia="仿宋" w:cs="仿宋"/>
          <w:color w:val="auto"/>
          <w:lang w:eastAsia="zh-CN"/>
        </w:rPr>
        <w:t>供应商</w:t>
      </w:r>
      <w:r>
        <w:rPr>
          <w:rFonts w:hint="eastAsia" w:ascii="仿宋" w:hAnsi="仿宋" w:eastAsia="仿宋" w:cs="仿宋"/>
          <w:color w:val="auto"/>
        </w:rPr>
        <w:t>。请各潜在</w:t>
      </w:r>
      <w:r>
        <w:rPr>
          <w:rFonts w:hint="eastAsia" w:ascii="仿宋" w:hAnsi="仿宋" w:eastAsia="仿宋" w:cs="仿宋"/>
          <w:color w:val="auto"/>
          <w:lang w:eastAsia="zh-CN"/>
        </w:rPr>
        <w:t>供应商</w:t>
      </w:r>
      <w:r>
        <w:rPr>
          <w:rFonts w:hint="eastAsia" w:ascii="仿宋" w:hAnsi="仿宋" w:eastAsia="仿宋" w:cs="仿宋"/>
          <w:color w:val="auto"/>
        </w:rPr>
        <w:t>及时关注本项目发布媒体，如未获取到相关澄清、更正、终止等信息，造成的后果由各潜在</w:t>
      </w:r>
      <w:r>
        <w:rPr>
          <w:rFonts w:hint="eastAsia" w:ascii="仿宋" w:hAnsi="仿宋" w:eastAsia="仿宋" w:cs="仿宋"/>
          <w:color w:val="auto"/>
          <w:lang w:eastAsia="zh-CN"/>
        </w:rPr>
        <w:t>供应商</w:t>
      </w:r>
      <w:r>
        <w:rPr>
          <w:rFonts w:hint="eastAsia" w:ascii="仿宋" w:hAnsi="仿宋" w:eastAsia="仿宋" w:cs="仿宋"/>
          <w:color w:val="auto"/>
        </w:rPr>
        <w:t>自行承担。）</w:t>
      </w:r>
    </w:p>
    <w:p>
      <w:pPr>
        <w:pStyle w:val="106"/>
        <w:numPr>
          <w:ilvl w:val="0"/>
          <w:numId w:val="0"/>
        </w:numPr>
        <w:spacing w:line="360" w:lineRule="auto"/>
        <w:ind w:firstLine="424" w:firstLineChars="177"/>
        <w:rPr>
          <w:rFonts w:hint="eastAsia" w:ascii="仿宋" w:hAnsi="仿宋" w:eastAsia="仿宋" w:cs="仿宋"/>
          <w:color w:val="auto"/>
        </w:rPr>
      </w:pPr>
      <w:r>
        <w:rPr>
          <w:rFonts w:hint="eastAsia" w:ascii="仿宋" w:hAnsi="仿宋" w:eastAsia="仿宋" w:cs="仿宋"/>
          <w:color w:val="auto"/>
        </w:rPr>
        <w:t>6.6各潜在</w:t>
      </w:r>
      <w:r>
        <w:rPr>
          <w:rFonts w:hint="eastAsia" w:ascii="仿宋" w:hAnsi="仿宋" w:eastAsia="仿宋" w:cs="仿宋"/>
          <w:color w:val="auto"/>
          <w:lang w:eastAsia="zh-CN"/>
        </w:rPr>
        <w:t>供应商</w:t>
      </w:r>
      <w:r>
        <w:rPr>
          <w:rFonts w:hint="eastAsia" w:ascii="仿宋" w:hAnsi="仿宋" w:eastAsia="仿宋" w:cs="仿宋"/>
          <w:color w:val="auto"/>
        </w:rPr>
        <w:t>应在</w:t>
      </w:r>
      <w:r>
        <w:rPr>
          <w:rFonts w:hint="eastAsia" w:ascii="仿宋" w:hAnsi="仿宋" w:eastAsia="仿宋" w:cs="仿宋"/>
          <w:color w:val="000000" w:themeColor="text1"/>
          <w14:textFill>
            <w14:solidFill>
              <w14:schemeClr w14:val="tx1"/>
            </w14:solidFill>
          </w14:textFill>
        </w:rPr>
        <w:t>西藏自治区公共资源交易网（http://ggzy.xizang.gov.cn）</w:t>
      </w:r>
      <w:r>
        <w:rPr>
          <w:rFonts w:hint="eastAsia" w:ascii="仿宋" w:hAnsi="仿宋" w:eastAsia="仿宋" w:cs="仿宋"/>
          <w:color w:val="auto"/>
        </w:rPr>
        <w:t>进行注册、完善资料等工作，并按照</w:t>
      </w:r>
      <w:r>
        <w:rPr>
          <w:rFonts w:hint="eastAsia" w:ascii="仿宋" w:hAnsi="仿宋" w:eastAsia="仿宋" w:cs="仿宋"/>
          <w:color w:val="auto"/>
          <w:lang w:val="en-US" w:eastAsia="zh-CN"/>
        </w:rPr>
        <w:t>西藏自治区公共资源交易网</w:t>
      </w:r>
      <w:r>
        <w:rPr>
          <w:rFonts w:hint="eastAsia" w:ascii="仿宋" w:hAnsi="仿宋" w:eastAsia="仿宋" w:cs="仿宋"/>
          <w:color w:val="auto"/>
        </w:rPr>
        <w:t>相关要求办理相关CA证书锁，以便完成获取</w:t>
      </w:r>
      <w:r>
        <w:rPr>
          <w:rFonts w:hint="eastAsia" w:ascii="仿宋" w:hAnsi="仿宋" w:eastAsia="仿宋" w:cs="仿宋"/>
          <w:color w:val="auto"/>
          <w:lang w:eastAsia="zh-CN"/>
        </w:rPr>
        <w:t>竞争性磋商文件</w:t>
      </w:r>
      <w:r>
        <w:rPr>
          <w:rFonts w:hint="eastAsia" w:ascii="仿宋" w:hAnsi="仿宋" w:eastAsia="仿宋" w:cs="仿宋"/>
          <w:color w:val="auto"/>
        </w:rPr>
        <w:t>、</w:t>
      </w:r>
      <w:r>
        <w:rPr>
          <w:rFonts w:hint="eastAsia" w:ascii="仿宋" w:hAnsi="仿宋" w:eastAsia="仿宋" w:cs="仿宋"/>
          <w:color w:val="auto"/>
          <w:lang w:val="en-US" w:eastAsia="zh-CN"/>
        </w:rPr>
        <w:t>响应文件提交、系统报价</w:t>
      </w:r>
      <w:r>
        <w:rPr>
          <w:rFonts w:hint="eastAsia" w:ascii="仿宋" w:hAnsi="仿宋" w:eastAsia="仿宋" w:cs="仿宋"/>
          <w:color w:val="auto"/>
        </w:rPr>
        <w:t>等相关操作。各项操作规范以</w:t>
      </w:r>
      <w:r>
        <w:rPr>
          <w:rFonts w:hint="eastAsia" w:ascii="仿宋" w:hAnsi="仿宋" w:eastAsia="仿宋" w:cs="仿宋"/>
          <w:color w:val="auto"/>
          <w:lang w:eastAsia="zh-CN"/>
        </w:rPr>
        <w:t>西藏自治区公共资源交易网</w:t>
      </w:r>
      <w:r>
        <w:rPr>
          <w:rFonts w:hint="eastAsia" w:ascii="仿宋" w:hAnsi="仿宋" w:eastAsia="仿宋" w:cs="仿宋"/>
          <w:color w:val="auto"/>
        </w:rPr>
        <w:t>要求为准，如遇网站、系统、CA证书锁等相关问题，请按照</w:t>
      </w:r>
      <w:r>
        <w:rPr>
          <w:rFonts w:hint="eastAsia" w:ascii="仿宋" w:hAnsi="仿宋" w:eastAsia="仿宋" w:cs="仿宋"/>
          <w:color w:val="auto"/>
          <w:lang w:val="en-US" w:eastAsia="zh-CN"/>
        </w:rPr>
        <w:t>西藏自治区公共</w:t>
      </w:r>
      <w:r>
        <w:rPr>
          <w:rFonts w:hint="eastAsia" w:ascii="仿宋" w:hAnsi="仿宋" w:eastAsia="仿宋" w:cs="仿宋"/>
          <w:color w:val="auto"/>
        </w:rPr>
        <w:t>资源交易平台服务中心联系方式进行咨询。</w:t>
      </w:r>
    </w:p>
    <w:p>
      <w:pPr>
        <w:pStyle w:val="62"/>
        <w:spacing w:line="360" w:lineRule="auto"/>
        <w:ind w:firstLine="480"/>
        <w:rPr>
          <w:rFonts w:hint="eastAsia" w:ascii="仿宋" w:hAnsi="仿宋" w:eastAsia="仿宋" w:cs="仿宋"/>
        </w:rPr>
      </w:pPr>
      <w:r>
        <w:rPr>
          <w:rFonts w:hint="eastAsia" w:ascii="仿宋" w:hAnsi="仿宋" w:eastAsia="仿宋" w:cs="仿宋"/>
        </w:rPr>
        <w:t>八、凡对本次采购提出询问，请按以下方式联系。</w:t>
      </w:r>
      <w:bookmarkEnd w:id="39"/>
      <w:bookmarkEnd w:id="40"/>
      <w:bookmarkEnd w:id="41"/>
      <w:bookmarkEnd w:id="42"/>
    </w:p>
    <w:p>
      <w:pPr>
        <w:pStyle w:val="62"/>
        <w:spacing w:line="360" w:lineRule="auto"/>
        <w:ind w:firstLine="480"/>
        <w:rPr>
          <w:rFonts w:hint="eastAsia" w:ascii="仿宋" w:hAnsi="仿宋" w:eastAsia="仿宋" w:cs="仿宋"/>
        </w:rPr>
      </w:pPr>
      <w:bookmarkStart w:id="45" w:name="_Toc35393637"/>
      <w:bookmarkStart w:id="46" w:name="_Toc35393806"/>
      <w:bookmarkStart w:id="47" w:name="_Toc28359019"/>
      <w:bookmarkStart w:id="48" w:name="_Toc28359096"/>
      <w:r>
        <w:rPr>
          <w:rFonts w:hint="eastAsia" w:ascii="仿宋" w:hAnsi="仿宋" w:eastAsia="仿宋" w:cs="仿宋"/>
        </w:rPr>
        <w:t>1.采购人信息</w:t>
      </w:r>
      <w:bookmarkEnd w:id="45"/>
      <w:bookmarkEnd w:id="46"/>
      <w:bookmarkEnd w:id="47"/>
      <w:bookmarkEnd w:id="48"/>
    </w:p>
    <w:p>
      <w:pPr>
        <w:pStyle w:val="106"/>
        <w:numPr>
          <w:ilvl w:val="0"/>
          <w:numId w:val="0"/>
        </w:numPr>
        <w:spacing w:line="360" w:lineRule="auto"/>
        <w:ind w:left="-2" w:leftChars="-1" w:firstLine="480" w:firstLineChars="200"/>
        <w:rPr>
          <w:rFonts w:hint="eastAsia" w:ascii="仿宋" w:hAnsi="仿宋" w:eastAsia="仿宋" w:cs="仿宋"/>
          <w:lang w:eastAsia="zh-CN"/>
        </w:rPr>
      </w:pPr>
      <w:r>
        <w:rPr>
          <w:rFonts w:hint="eastAsia" w:ascii="仿宋" w:hAnsi="仿宋" w:eastAsia="仿宋" w:cs="仿宋"/>
        </w:rPr>
        <w:t>名    称：</w:t>
      </w:r>
      <w:r>
        <w:rPr>
          <w:rFonts w:hint="eastAsia" w:ascii="仿宋" w:hAnsi="仿宋" w:eastAsia="仿宋" w:cs="仿宋"/>
          <w:lang w:eastAsia="zh-CN"/>
        </w:rPr>
        <w:t xml:space="preserve">西藏自治区经济和信息化厅 </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地    址：</w:t>
      </w:r>
      <w:r>
        <w:rPr>
          <w:rFonts w:hint="eastAsia" w:ascii="仿宋" w:hAnsi="仿宋" w:eastAsia="仿宋" w:cs="仿宋"/>
          <w:color w:val="000000" w:themeColor="text1"/>
          <w14:textFill>
            <w14:solidFill>
              <w14:schemeClr w14:val="tx1"/>
            </w14:solidFill>
          </w14:textFill>
        </w:rPr>
        <w:t>西藏自治区拉萨市城关区北京西路62号</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联系方式：杨老师  0891-6198930</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2.采购代理机构信息</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名    称：天鉴国际工程管理有限公司</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 xml:space="preserve">地    址：拉萨市城关区日月湖水景花园2区7排3号 </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联系方式：0891-6852890</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3.项目联系方式</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项目联系人：孟工</w:t>
      </w:r>
    </w:p>
    <w:p>
      <w:pPr>
        <w:pStyle w:val="106"/>
        <w:numPr>
          <w:ilvl w:val="0"/>
          <w:numId w:val="0"/>
        </w:numPr>
        <w:spacing w:line="360" w:lineRule="auto"/>
        <w:ind w:left="-2" w:leftChars="-1" w:firstLine="480" w:firstLineChars="200"/>
        <w:rPr>
          <w:rFonts w:hint="eastAsia" w:ascii="仿宋" w:hAnsi="仿宋" w:eastAsia="仿宋" w:cs="仿宋"/>
        </w:rPr>
      </w:pPr>
      <w:r>
        <w:rPr>
          <w:rFonts w:hint="eastAsia" w:ascii="仿宋" w:hAnsi="仿宋" w:eastAsia="仿宋" w:cs="仿宋"/>
        </w:rPr>
        <w:t>电      话：0891-6852890</w:t>
      </w:r>
    </w:p>
    <w:p>
      <w:pPr>
        <w:spacing w:line="360" w:lineRule="auto"/>
        <w:rPr>
          <w:rFonts w:hint="eastAsia" w:ascii="仿宋" w:hAnsi="仿宋" w:eastAsia="仿宋" w:cs="仿宋"/>
        </w:rPr>
      </w:pPr>
      <w:r>
        <w:rPr>
          <w:rFonts w:hint="eastAsia" w:ascii="仿宋" w:hAnsi="仿宋" w:eastAsia="仿宋" w:cs="仿宋"/>
        </w:rPr>
        <w:br w:type="page"/>
      </w:r>
    </w:p>
    <w:p>
      <w:pPr>
        <w:pStyle w:val="40"/>
        <w:spacing w:line="360" w:lineRule="auto"/>
        <w:rPr>
          <w:rFonts w:hint="eastAsia" w:ascii="仿宋" w:hAnsi="仿宋" w:eastAsia="仿宋" w:cs="仿宋"/>
        </w:rPr>
      </w:pPr>
      <w:bookmarkStart w:id="49" w:name="_Toc44783867"/>
      <w:r>
        <w:rPr>
          <w:rFonts w:hint="eastAsia" w:ascii="仿宋" w:hAnsi="仿宋" w:eastAsia="仿宋" w:cs="仿宋"/>
        </w:rPr>
        <w:t>第二章 供应商须知前附表</w:t>
      </w:r>
      <w:bookmarkEnd w:id="8"/>
      <w:bookmarkEnd w:id="9"/>
      <w:bookmarkEnd w:id="10"/>
      <w:bookmarkEnd w:id="11"/>
      <w:bookmarkEnd w:id="12"/>
      <w:bookmarkEnd w:id="49"/>
    </w:p>
    <w:p>
      <w:pPr>
        <w:pStyle w:val="62"/>
        <w:spacing w:line="360" w:lineRule="auto"/>
        <w:ind w:firstLine="480"/>
        <w:rPr>
          <w:rFonts w:hint="eastAsia" w:ascii="仿宋" w:hAnsi="仿宋" w:eastAsia="仿宋" w:cs="仿宋"/>
        </w:rPr>
      </w:pPr>
      <w:r>
        <w:rPr>
          <w:rFonts w:hint="eastAsia" w:ascii="仿宋" w:hAnsi="仿宋" w:eastAsia="仿宋" w:cs="仿宋"/>
        </w:rPr>
        <w:t>本表关于磋商项目的具体要求是对供应商须知的具体补充和修改，如有矛盾，应以本表为准。</w:t>
      </w:r>
    </w:p>
    <w:tbl>
      <w:tblPr>
        <w:tblStyle w:val="42"/>
        <w:tblW w:w="100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92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3"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rPr>
                <w:rFonts w:hint="eastAsia" w:ascii="仿宋" w:hAnsi="仿宋" w:eastAsia="仿宋" w:cs="仿宋"/>
              </w:rPr>
            </w:pPr>
            <w:r>
              <w:rPr>
                <w:rFonts w:hint="eastAsia" w:ascii="仿宋" w:hAnsi="仿宋" w:eastAsia="仿宋" w:cs="仿宋"/>
              </w:rPr>
              <w:t>条款号</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2"/>
              <w:jc w:val="center"/>
              <w:rPr>
                <w:rFonts w:hint="eastAsia" w:ascii="仿宋" w:hAnsi="仿宋" w:eastAsia="仿宋" w:cs="仿宋"/>
                <w:b/>
              </w:rPr>
            </w:pPr>
            <w:r>
              <w:rPr>
                <w:rFonts w:hint="eastAsia" w:ascii="仿宋" w:hAnsi="仿宋" w:eastAsia="仿宋" w:cs="仿宋"/>
                <w:b/>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17" w:hRule="atLeast"/>
        </w:trPr>
        <w:tc>
          <w:tcPr>
            <w:tcW w:w="10093" w:type="dxa"/>
            <w:gridSpan w:val="2"/>
            <w:noWrap w:val="0"/>
            <w:vAlign w:val="center"/>
          </w:tcPr>
          <w:p>
            <w:pPr>
              <w:pStyle w:val="62"/>
              <w:keepNext w:val="0"/>
              <w:keepLines w:val="0"/>
              <w:suppressLineNumbers w:val="0"/>
              <w:spacing w:before="0" w:beforeAutospacing="0" w:after="0" w:afterAutospacing="0" w:line="360" w:lineRule="auto"/>
              <w:ind w:left="0" w:right="0" w:firstLine="482"/>
              <w:jc w:val="center"/>
              <w:rPr>
                <w:rFonts w:hint="eastAsia" w:ascii="仿宋" w:hAnsi="仿宋" w:eastAsia="仿宋" w:cs="仿宋"/>
                <w:b/>
              </w:rPr>
            </w:pPr>
            <w:r>
              <w:rPr>
                <w:rFonts w:hint="eastAsia" w:ascii="仿宋" w:hAnsi="仿宋" w:eastAsia="仿宋" w:cs="仿宋"/>
                <w:b/>
              </w:rPr>
              <w:t>说   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50"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lang w:eastAsia="zh-CN"/>
              </w:rPr>
            </w:pPr>
            <w:r>
              <w:rPr>
                <w:rFonts w:hint="eastAsia" w:ascii="仿宋" w:hAnsi="仿宋" w:eastAsia="仿宋" w:cs="仿宋"/>
              </w:rPr>
              <w:t>采 购 人：</w:t>
            </w:r>
            <w:r>
              <w:rPr>
                <w:rFonts w:hint="eastAsia" w:ascii="仿宋" w:hAnsi="仿宋" w:eastAsia="仿宋" w:cs="仿宋"/>
                <w:lang w:eastAsia="zh-CN"/>
              </w:rPr>
              <w:t xml:space="preserve">西藏自治区经济和信息化厅 </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kern w:val="0"/>
              </w:rPr>
            </w:pPr>
            <w:r>
              <w:rPr>
                <w:rFonts w:hint="eastAsia" w:ascii="仿宋" w:hAnsi="仿宋" w:eastAsia="仿宋" w:cs="仿宋"/>
              </w:rPr>
              <w:t>地    址：</w:t>
            </w:r>
            <w:r>
              <w:rPr>
                <w:rFonts w:hint="eastAsia" w:ascii="仿宋" w:hAnsi="仿宋" w:eastAsia="仿宋" w:cs="仿宋"/>
                <w:color w:val="000000" w:themeColor="text1"/>
                <w14:textFill>
                  <w14:solidFill>
                    <w14:schemeClr w14:val="tx1"/>
                  </w14:solidFill>
                </w14:textFill>
              </w:rPr>
              <w:t>西藏自治区拉萨市城关区北京西路62号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18"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2</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项目名称：</w:t>
            </w:r>
            <w:r>
              <w:rPr>
                <w:rFonts w:hint="eastAsia" w:ascii="仿宋" w:hAnsi="仿宋" w:eastAsia="仿宋" w:cs="仿宋"/>
                <w:lang w:eastAsia="zh-CN"/>
              </w:rPr>
              <w:t>2023年全区无线电管控设备运维服务采购项目</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kern w:val="0"/>
                <w:lang w:eastAsia="zh-CN"/>
              </w:rPr>
            </w:pPr>
            <w:r>
              <w:rPr>
                <w:rFonts w:hint="eastAsia" w:ascii="仿宋" w:hAnsi="仿宋" w:eastAsia="仿宋" w:cs="仿宋"/>
                <w:color w:val="000000"/>
              </w:rPr>
              <w:t>项目编号：</w:t>
            </w:r>
            <w:r>
              <w:rPr>
                <w:rFonts w:hint="eastAsia" w:ascii="仿宋" w:hAnsi="仿宋" w:eastAsia="仿宋" w:cs="仿宋"/>
                <w:color w:val="000000"/>
                <w:lang w:eastAsia="zh-CN"/>
              </w:rPr>
              <w:t xml:space="preserve"> TJGJCG-2023015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3</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采购代理机构：天鉴国际工程管理有限公司</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 xml:space="preserve">地        址：拉萨市城关区日月湖水景花园2区7排3号 </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kern w:val="0"/>
              </w:rPr>
            </w:pPr>
            <w:r>
              <w:rPr>
                <w:rFonts w:hint="eastAsia" w:ascii="仿宋" w:hAnsi="仿宋" w:eastAsia="仿宋" w:cs="仿宋"/>
                <w:kern w:val="0"/>
              </w:rPr>
              <w:t>联   系   人：</w:t>
            </w:r>
            <w:r>
              <w:rPr>
                <w:rFonts w:hint="eastAsia" w:ascii="仿宋" w:hAnsi="仿宋" w:eastAsia="仿宋" w:cs="仿宋"/>
              </w:rPr>
              <w:t>孟工</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kern w:val="0"/>
              </w:rPr>
              <w:t>联 系  电 话：</w:t>
            </w:r>
            <w:r>
              <w:rPr>
                <w:rFonts w:hint="eastAsia" w:ascii="仿宋" w:hAnsi="仿宋" w:eastAsia="仿宋" w:cs="仿宋"/>
              </w:rPr>
              <w:t>0891-6852890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85"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4</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采购内容：</w:t>
            </w:r>
            <w:r>
              <w:rPr>
                <w:rFonts w:hint="eastAsia" w:ascii="仿宋" w:hAnsi="仿宋" w:eastAsia="仿宋" w:cs="仿宋"/>
                <w:lang w:eastAsia="zh-CN"/>
              </w:rPr>
              <w:t>2023年全区无线电管控设备运维服务采购项目</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资格标准：</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(1)具备《中华人民共和国政府采购法》第二十二条规定的条件。</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(2)本项目不接受联合体参加采购活动，不允许将部分项目分包和转包。</w:t>
            </w:r>
          </w:p>
          <w:p>
            <w:pPr>
              <w:pStyle w:val="62"/>
              <w:keepNext w:val="0"/>
              <w:keepLines w:val="0"/>
              <w:suppressLineNumbers w:val="0"/>
              <w:spacing w:before="0" w:beforeAutospacing="0" w:after="0" w:afterAutospacing="0" w:line="360" w:lineRule="auto"/>
              <w:ind w:left="0" w:leftChars="0" w:right="0" w:firstLine="480" w:firstLineChars="200"/>
              <w:rPr>
                <w:rFonts w:hint="eastAsia" w:ascii="仿宋" w:hAnsi="仿宋" w:eastAsia="仿宋" w:cs="仿宋"/>
                <w:lang w:eastAsia="zh-CN"/>
              </w:rPr>
            </w:pPr>
            <w:r>
              <w:rPr>
                <w:rFonts w:hint="eastAsia" w:ascii="仿宋" w:hAnsi="仿宋" w:eastAsia="仿宋" w:cs="仿宋"/>
              </w:rPr>
              <w:t>（3）特定的资格条件：</w:t>
            </w:r>
            <w:r>
              <w:rPr>
                <w:rFonts w:hint="eastAsia" w:ascii="仿宋" w:hAnsi="仿宋" w:eastAsia="仿宋" w:cs="仿宋"/>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38"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5</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采购方式：竞争性磋商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1"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6</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lang w:val="en-US" w:eastAsia="zh-CN"/>
              </w:rPr>
            </w:pPr>
            <w:r>
              <w:rPr>
                <w:rFonts w:hint="eastAsia" w:ascii="仿宋" w:hAnsi="仿宋" w:eastAsia="仿宋" w:cs="仿宋"/>
                <w:color w:val="FF0000"/>
                <w:u w:val="none"/>
              </w:rPr>
              <w:t>付款安排： 合同签订后，</w:t>
            </w:r>
            <w:r>
              <w:rPr>
                <w:rFonts w:hint="eastAsia" w:ascii="仿宋" w:hAnsi="仿宋" w:eastAsia="仿宋" w:cs="仿宋"/>
                <w:color w:val="FF0000"/>
                <w:u w:val="none"/>
                <w:lang w:val="en-US" w:eastAsia="zh-CN"/>
              </w:rPr>
              <w:t>完成采购人要求的工作任务，每季度支付合同金额的25%。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17" w:hRule="atLeast"/>
        </w:trPr>
        <w:tc>
          <w:tcPr>
            <w:tcW w:w="10093" w:type="dxa"/>
            <w:gridSpan w:val="2"/>
            <w:noWrap w:val="0"/>
            <w:vAlign w:val="center"/>
          </w:tcPr>
          <w:p>
            <w:pPr>
              <w:pStyle w:val="62"/>
              <w:keepNext w:val="0"/>
              <w:keepLines w:val="0"/>
              <w:suppressLineNumbers w:val="0"/>
              <w:spacing w:before="0" w:beforeAutospacing="0" w:after="0" w:afterAutospacing="0" w:line="360" w:lineRule="auto"/>
              <w:ind w:left="0" w:right="0" w:firstLine="480"/>
              <w:jc w:val="center"/>
              <w:rPr>
                <w:rFonts w:hint="eastAsia" w:ascii="仿宋" w:hAnsi="仿宋" w:eastAsia="仿宋" w:cs="仿宋"/>
              </w:rPr>
            </w:pPr>
            <w:r>
              <w:rPr>
                <w:rFonts w:hint="eastAsia" w:ascii="仿宋" w:hAnsi="仿宋" w:eastAsia="仿宋" w:cs="仿宋"/>
              </w:rPr>
              <w:t>报  价  和  货  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7"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7</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i/>
              </w:rPr>
            </w:pPr>
            <w:r>
              <w:rPr>
                <w:rFonts w:hint="eastAsia" w:ascii="仿宋" w:hAnsi="仿宋" w:eastAsia="仿宋" w:cs="仿宋"/>
                <w:b/>
                <w:bCs/>
              </w:rPr>
              <w:t>磋商报价方式：报价包含所有费用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7"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8</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
                <w:i/>
              </w:rPr>
            </w:pPr>
            <w:r>
              <w:rPr>
                <w:rFonts w:hint="eastAsia" w:ascii="仿宋" w:hAnsi="仿宋" w:eastAsia="仿宋" w:cs="仿宋"/>
                <w:bCs/>
              </w:rPr>
              <w:t>报价货币：人民币，以元为单位，保留两位小数点。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3"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9</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磋商报价风险：</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rPr>
            </w:pPr>
            <w:r>
              <w:rPr>
                <w:rFonts w:hint="eastAsia" w:ascii="仿宋" w:hAnsi="仿宋" w:eastAsia="仿宋" w:cs="仿宋"/>
                <w:b/>
                <w:bCs/>
              </w:rPr>
              <w:t>1、</w:t>
            </w:r>
            <w:r>
              <w:rPr>
                <w:rFonts w:hint="eastAsia" w:ascii="仿宋" w:hAnsi="仿宋" w:eastAsia="仿宋" w:cs="仿宋"/>
              </w:rPr>
              <w:t>供应商依据磋商文件提供的采购需求并考虑风险因素计算磋商报价，一旦为成交供应商，磋商报价将不会因市场变化因素而得到调整。</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rPr>
            </w:pPr>
            <w:r>
              <w:rPr>
                <w:rFonts w:hint="eastAsia" w:ascii="仿宋" w:hAnsi="仿宋" w:eastAsia="仿宋" w:cs="仿宋"/>
                <w:b/>
                <w:bCs/>
              </w:rPr>
              <w:t>2、</w:t>
            </w:r>
            <w:r>
              <w:rPr>
                <w:rFonts w:hint="eastAsia" w:ascii="仿宋" w:hAnsi="仿宋" w:eastAsia="仿宋" w:cs="仿宋"/>
              </w:rPr>
              <w:t>磋商报价中应包括采购需求中项目所发生的人工费、材料费、管理费、利润、税金等以及磋商文件包含的所有风险、责任等各项应有费用，供应商漏报或不报，采购人将视为有关费用已包括在采购清单项目的其它单价及合价中而不予支付。</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rPr>
            </w:pPr>
            <w:r>
              <w:rPr>
                <w:rFonts w:hint="eastAsia" w:ascii="仿宋" w:hAnsi="仿宋" w:eastAsia="仿宋" w:cs="仿宋"/>
                <w:b/>
                <w:bCs/>
              </w:rPr>
              <w:t>3、</w:t>
            </w:r>
            <w:r>
              <w:rPr>
                <w:rFonts w:hint="eastAsia" w:ascii="仿宋" w:hAnsi="仿宋" w:eastAsia="仿宋" w:cs="仿宋"/>
              </w:rPr>
              <w:t>供应商应按照采购需求逐项填写单价及合价，供应商没有填写单价及合价的项目，采购人将视为此项费用已包括在工程量清单项目的其它单价及合价中而不予支付。</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rPr>
            </w:pPr>
            <w:r>
              <w:rPr>
                <w:rFonts w:hint="eastAsia" w:ascii="仿宋" w:hAnsi="仿宋" w:eastAsia="仿宋" w:cs="仿宋"/>
                <w:b/>
                <w:bCs/>
              </w:rPr>
              <w:t>4、</w:t>
            </w:r>
            <w:r>
              <w:rPr>
                <w:rFonts w:hint="eastAsia" w:ascii="仿宋" w:hAnsi="仿宋" w:eastAsia="仿宋" w:cs="仿宋"/>
                <w:bCs/>
              </w:rPr>
              <w:t>本次</w:t>
            </w:r>
            <w:r>
              <w:rPr>
                <w:rFonts w:hint="eastAsia" w:ascii="仿宋" w:hAnsi="仿宋" w:eastAsia="仿宋" w:cs="仿宋"/>
              </w:rPr>
              <w:t>报价非一次性报价，但将作为能否进入第二轮磋商的重要依据。供应商报价时应以当前市场价格为报价依据，提供更优惠的价格。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4" w:hRule="atLeast"/>
        </w:trPr>
        <w:tc>
          <w:tcPr>
            <w:tcW w:w="10093" w:type="dxa"/>
            <w:gridSpan w:val="2"/>
            <w:noWrap w:val="0"/>
            <w:vAlign w:val="center"/>
          </w:tcPr>
          <w:p>
            <w:pPr>
              <w:pStyle w:val="62"/>
              <w:keepNext w:val="0"/>
              <w:keepLines w:val="0"/>
              <w:suppressLineNumbers w:val="0"/>
              <w:spacing w:before="0" w:beforeAutospacing="0" w:after="0" w:afterAutospacing="0" w:line="360" w:lineRule="auto"/>
              <w:ind w:left="0" w:right="0" w:firstLine="482"/>
              <w:jc w:val="center"/>
              <w:rPr>
                <w:rFonts w:hint="eastAsia" w:ascii="仿宋" w:hAnsi="仿宋" w:eastAsia="仿宋" w:cs="仿宋"/>
                <w:b/>
              </w:rPr>
            </w:pPr>
            <w:r>
              <w:rPr>
                <w:rFonts w:hint="eastAsia" w:ascii="仿宋" w:hAnsi="仿宋" w:eastAsia="仿宋" w:cs="仿宋"/>
                <w:b/>
              </w:rPr>
              <w:t>磋 商 文 件 的 编 制 和 递 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240" w:firstLineChars="100"/>
              <w:rPr>
                <w:rFonts w:hint="eastAsia" w:ascii="仿宋" w:hAnsi="仿宋" w:eastAsia="仿宋" w:cs="仿宋"/>
              </w:rPr>
            </w:pPr>
            <w:r>
              <w:rPr>
                <w:rFonts w:hint="eastAsia" w:ascii="仿宋" w:hAnsi="仿宋" w:eastAsia="仿宋" w:cs="仿宋"/>
              </w:rPr>
              <w:t>10</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lang w:eastAsia="zh-CN"/>
              </w:rPr>
            </w:pPr>
            <w:r>
              <w:rPr>
                <w:rFonts w:hint="eastAsia" w:ascii="仿宋" w:hAnsi="仿宋" w:eastAsia="仿宋" w:cs="仿宋"/>
                <w:b/>
              </w:rPr>
              <w:t>最高限价</w:t>
            </w:r>
            <w:r>
              <w:rPr>
                <w:rFonts w:hint="eastAsia" w:ascii="仿宋" w:hAnsi="仿宋" w:eastAsia="仿宋" w:cs="仿宋"/>
              </w:rPr>
              <w:t>:</w:t>
            </w:r>
            <w:r>
              <w:rPr>
                <w:rFonts w:hint="eastAsia" w:ascii="仿宋" w:hAnsi="仿宋" w:eastAsia="仿宋" w:cs="仿宋"/>
                <w:lang w:val="en-US" w:eastAsia="zh-CN"/>
              </w:rPr>
              <w:t>148.00</w:t>
            </w:r>
            <w:r>
              <w:rPr>
                <w:rFonts w:hint="eastAsia" w:ascii="仿宋" w:hAnsi="仿宋" w:eastAsia="仿宋" w:cs="仿宋"/>
                <w:lang w:eastAsia="zh-CN"/>
              </w:rPr>
              <w:t>万元</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响应保证金：</w:t>
            </w:r>
            <w:r>
              <w:rPr>
                <w:rFonts w:hint="eastAsia" w:ascii="仿宋" w:hAnsi="仿宋" w:eastAsia="仿宋" w:cs="仿宋"/>
                <w:lang w:val="en-US" w:eastAsia="zh-CN"/>
              </w:rPr>
              <w:t>1.60万</w:t>
            </w:r>
            <w:r>
              <w:rPr>
                <w:rFonts w:hint="eastAsia" w:ascii="仿宋" w:hAnsi="仿宋" w:eastAsia="仿宋" w:cs="仿宋"/>
              </w:rPr>
              <w:t>元</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rPr>
            </w:pPr>
            <w:r>
              <w:rPr>
                <w:rFonts w:hint="eastAsia" w:ascii="仿宋" w:hAnsi="仿宋" w:eastAsia="仿宋" w:cs="仿宋"/>
                <w:b/>
              </w:rPr>
              <w:t>交款方式：采用银行汇票、支票、本票、网银转账、保单、保函等非现金形式。采取线上银行保函或保单保函方式提交的，</w:t>
            </w:r>
            <w:r>
              <w:rPr>
                <w:rFonts w:hint="eastAsia" w:ascii="仿宋" w:hAnsi="仿宋" w:eastAsia="仿宋" w:cs="仿宋"/>
                <w:b/>
                <w:lang w:eastAsia="zh-CN"/>
              </w:rPr>
              <w:t>供应商</w:t>
            </w:r>
            <w:r>
              <w:rPr>
                <w:rFonts w:hint="eastAsia" w:ascii="仿宋" w:hAnsi="仿宋" w:eastAsia="仿宋" w:cs="仿宋"/>
                <w:b/>
              </w:rPr>
              <w:t>在</w:t>
            </w:r>
            <w:r>
              <w:rPr>
                <w:rFonts w:hint="eastAsia" w:ascii="仿宋" w:hAnsi="仿宋" w:eastAsia="仿宋" w:cs="仿宋"/>
                <w:b/>
                <w:lang w:val="en-US" w:eastAsia="zh-CN"/>
              </w:rPr>
              <w:t>获取</w:t>
            </w:r>
            <w:r>
              <w:rPr>
                <w:rFonts w:hint="eastAsia" w:ascii="仿宋" w:hAnsi="仿宋" w:eastAsia="仿宋" w:cs="仿宋"/>
                <w:b/>
                <w:lang w:eastAsia="zh-CN"/>
              </w:rPr>
              <w:t>竞争性磋商文件</w:t>
            </w:r>
            <w:r>
              <w:rPr>
                <w:rFonts w:hint="eastAsia" w:ascii="仿宋" w:hAnsi="仿宋" w:eastAsia="仿宋" w:cs="仿宋"/>
                <w:b/>
              </w:rPr>
              <w:t>后即可线上缴纳投标保证金。（根据</w:t>
            </w:r>
            <w:r>
              <w:rPr>
                <w:rFonts w:hint="eastAsia" w:ascii="仿宋" w:hAnsi="仿宋" w:eastAsia="仿宋" w:cs="仿宋"/>
                <w:b/>
                <w:lang w:val="en-US" w:eastAsia="zh-CN"/>
              </w:rPr>
              <w:t>西藏自治区</w:t>
            </w:r>
            <w:r>
              <w:rPr>
                <w:rFonts w:hint="eastAsia" w:ascii="仿宋" w:hAnsi="仿宋" w:eastAsia="仿宋" w:cs="仿宋"/>
                <w:b/>
              </w:rPr>
              <w:t>公共资源交易平台政府采购系统推荐的选择其中一种可以缴纳投标保证金的平台即可）。</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rPr>
            </w:pPr>
            <w:r>
              <w:rPr>
                <w:rFonts w:hint="eastAsia" w:ascii="仿宋" w:hAnsi="仿宋" w:eastAsia="仿宋" w:cs="仿宋"/>
                <w:b/>
              </w:rPr>
              <w:t>交款截止时间：同投标截止时间一致。</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rPr>
            </w:pPr>
            <w:r>
              <w:rPr>
                <w:rFonts w:hint="eastAsia" w:ascii="仿宋" w:hAnsi="仿宋" w:eastAsia="仿宋" w:cs="仿宋"/>
                <w:b/>
              </w:rPr>
              <w:t>注：项目名称、项目编号字样可以简写但必须标明项目信息。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913"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11</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1.线上电子文件的要求</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1.1本项目采用电子化交易系统,需办理相关CA证书锁，各</w:t>
            </w:r>
            <w:r>
              <w:rPr>
                <w:rFonts w:hint="eastAsia" w:ascii="仿宋" w:hAnsi="仿宋" w:eastAsia="仿宋" w:cs="仿宋"/>
                <w:b/>
                <w:bCs/>
                <w:lang w:eastAsia="zh-CN"/>
              </w:rPr>
              <w:t>供应商</w:t>
            </w:r>
            <w:r>
              <w:rPr>
                <w:rFonts w:hint="eastAsia" w:ascii="仿宋" w:hAnsi="仿宋" w:eastAsia="仿宋" w:cs="仿宋"/>
                <w:b/>
                <w:bCs/>
              </w:rPr>
              <w:t>须在投标截止时间前上传加密的电子</w:t>
            </w:r>
            <w:r>
              <w:rPr>
                <w:rFonts w:hint="eastAsia" w:ascii="仿宋" w:hAnsi="仿宋" w:eastAsia="仿宋" w:cs="仿宋"/>
                <w:b/>
                <w:bCs/>
                <w:lang w:eastAsia="zh-CN"/>
              </w:rPr>
              <w:t>响应文件</w:t>
            </w:r>
            <w:r>
              <w:rPr>
                <w:rFonts w:hint="eastAsia" w:ascii="仿宋" w:hAnsi="仿宋" w:eastAsia="仿宋" w:cs="仿宋"/>
                <w:b/>
                <w:bCs/>
              </w:rPr>
              <w:t>至“</w:t>
            </w:r>
            <w:r>
              <w:rPr>
                <w:rFonts w:hint="eastAsia" w:ascii="仿宋" w:hAnsi="仿宋" w:eastAsia="仿宋" w:cs="仿宋"/>
                <w:b/>
                <w:bCs/>
                <w:lang w:eastAsia="zh-CN"/>
              </w:rPr>
              <w:t>西藏自治区公共资源交易网（http://ggzy.xizang.gov.cn）</w:t>
            </w:r>
            <w:r>
              <w:rPr>
                <w:rFonts w:hint="eastAsia" w:ascii="仿宋" w:hAnsi="仿宋" w:eastAsia="仿宋" w:cs="仿宋"/>
                <w:b/>
                <w:bCs/>
              </w:rPr>
              <w:t>”。相关CA证书锁可在</w:t>
            </w:r>
            <w:r>
              <w:rPr>
                <w:rFonts w:hint="eastAsia" w:ascii="仿宋" w:hAnsi="仿宋" w:eastAsia="仿宋" w:cs="仿宋"/>
                <w:b/>
                <w:bCs/>
                <w:lang w:val="en-US" w:eastAsia="zh-CN"/>
              </w:rPr>
              <w:t>西藏自治区公共资源交易网</w:t>
            </w:r>
            <w:r>
              <w:rPr>
                <w:rFonts w:hint="eastAsia" w:ascii="仿宋" w:hAnsi="仿宋" w:eastAsia="仿宋" w:cs="仿宋"/>
                <w:b/>
                <w:bCs/>
              </w:rPr>
              <w:t>（http://ggzy.xizang.gov.cn）查询办理流程。各</w:t>
            </w:r>
            <w:r>
              <w:rPr>
                <w:rFonts w:hint="eastAsia" w:ascii="仿宋" w:hAnsi="仿宋" w:eastAsia="仿宋" w:cs="仿宋"/>
                <w:b/>
                <w:bCs/>
                <w:lang w:eastAsia="zh-CN"/>
              </w:rPr>
              <w:t>供应商</w:t>
            </w:r>
            <w:r>
              <w:rPr>
                <w:rFonts w:hint="eastAsia" w:ascii="仿宋" w:hAnsi="仿宋" w:eastAsia="仿宋" w:cs="仿宋"/>
                <w:b/>
                <w:bCs/>
              </w:rPr>
              <w:t>未在投标截止时间前上传电子</w:t>
            </w:r>
            <w:r>
              <w:rPr>
                <w:rFonts w:hint="eastAsia" w:ascii="仿宋" w:hAnsi="仿宋" w:eastAsia="仿宋" w:cs="仿宋"/>
                <w:b/>
                <w:bCs/>
                <w:lang w:eastAsia="zh-CN"/>
              </w:rPr>
              <w:t>响应文件</w:t>
            </w:r>
            <w:r>
              <w:rPr>
                <w:rFonts w:hint="eastAsia" w:ascii="仿宋" w:hAnsi="仿宋" w:eastAsia="仿宋" w:cs="仿宋"/>
                <w:b/>
                <w:bCs/>
              </w:rPr>
              <w:t>的，视为自动放弃投标。</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1.2开标现场，只对电子</w:t>
            </w:r>
            <w:r>
              <w:rPr>
                <w:rFonts w:hint="eastAsia" w:ascii="仿宋" w:hAnsi="仿宋" w:eastAsia="仿宋" w:cs="仿宋"/>
                <w:b/>
                <w:bCs/>
                <w:lang w:eastAsia="zh-CN"/>
              </w:rPr>
              <w:t>响应文件</w:t>
            </w:r>
            <w:r>
              <w:rPr>
                <w:rFonts w:hint="eastAsia" w:ascii="仿宋" w:hAnsi="仿宋" w:eastAsia="仿宋" w:cs="仿宋"/>
                <w:b/>
                <w:bCs/>
              </w:rPr>
              <w:t>进行开标。</w:t>
            </w:r>
            <w:r>
              <w:rPr>
                <w:rFonts w:hint="eastAsia" w:ascii="仿宋" w:hAnsi="仿宋" w:eastAsia="仿宋" w:cs="仿宋"/>
                <w:b/>
                <w:bCs/>
                <w:lang w:eastAsia="zh-CN"/>
              </w:rPr>
              <w:t>供应商</w:t>
            </w:r>
            <w:r>
              <w:rPr>
                <w:rFonts w:hint="eastAsia" w:ascii="仿宋" w:hAnsi="仿宋" w:eastAsia="仿宋" w:cs="仿宋"/>
                <w:b/>
                <w:bCs/>
              </w:rPr>
              <w:t>如遇网站、系统平台、CA证书锁等相关问题无法上传电子</w:t>
            </w:r>
            <w:r>
              <w:rPr>
                <w:rFonts w:hint="eastAsia" w:ascii="仿宋" w:hAnsi="仿宋" w:eastAsia="仿宋" w:cs="仿宋"/>
                <w:b/>
                <w:bCs/>
                <w:lang w:eastAsia="zh-CN"/>
              </w:rPr>
              <w:t>响应文件</w:t>
            </w:r>
            <w:r>
              <w:rPr>
                <w:rFonts w:hint="eastAsia" w:ascii="仿宋" w:hAnsi="仿宋" w:eastAsia="仿宋" w:cs="仿宋"/>
                <w:b/>
                <w:bCs/>
              </w:rPr>
              <w:t>时，请及时按照</w:t>
            </w:r>
            <w:r>
              <w:rPr>
                <w:rFonts w:hint="eastAsia" w:ascii="仿宋" w:hAnsi="仿宋" w:eastAsia="仿宋" w:cs="仿宋"/>
                <w:b/>
                <w:bCs/>
                <w:lang w:val="en-US" w:eastAsia="zh-CN"/>
              </w:rPr>
              <w:t>西藏自治区</w:t>
            </w:r>
            <w:r>
              <w:rPr>
                <w:rFonts w:hint="eastAsia" w:ascii="仿宋" w:hAnsi="仿宋" w:eastAsia="仿宋" w:cs="仿宋"/>
                <w:b/>
                <w:bCs/>
              </w:rPr>
              <w:t>公共资源交易平台服务中心联系方式进行咨询。</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1.3本项目采用电子评标（线上评标），只对电子</w:t>
            </w:r>
            <w:r>
              <w:rPr>
                <w:rFonts w:hint="eastAsia" w:ascii="仿宋" w:hAnsi="仿宋" w:eastAsia="仿宋" w:cs="仿宋"/>
                <w:b/>
                <w:bCs/>
                <w:lang w:eastAsia="zh-CN"/>
              </w:rPr>
              <w:t>响应文件</w:t>
            </w:r>
            <w:r>
              <w:rPr>
                <w:rFonts w:hint="eastAsia" w:ascii="仿宋" w:hAnsi="仿宋" w:eastAsia="仿宋" w:cs="仿宋"/>
                <w:b/>
                <w:bCs/>
              </w:rPr>
              <w:t>进行评审，如在评标过程中出现意外情况导致无法继续进行电子评标时，如由系统原因，将请</w:t>
            </w:r>
            <w:r>
              <w:rPr>
                <w:rFonts w:hint="eastAsia" w:ascii="仿宋" w:hAnsi="仿宋" w:eastAsia="仿宋" w:cs="仿宋"/>
                <w:b/>
                <w:bCs/>
                <w:lang w:val="en-US" w:eastAsia="zh-CN"/>
              </w:rPr>
              <w:t>西藏自治区</w:t>
            </w:r>
            <w:r>
              <w:rPr>
                <w:rFonts w:hint="eastAsia" w:ascii="仿宋" w:hAnsi="仿宋" w:eastAsia="仿宋" w:cs="仿宋"/>
                <w:b/>
                <w:bCs/>
              </w:rPr>
              <w:t>公共资源交易平台服务中心进行解决，如因</w:t>
            </w:r>
            <w:r>
              <w:rPr>
                <w:rFonts w:hint="eastAsia" w:ascii="仿宋" w:hAnsi="仿宋" w:eastAsia="仿宋" w:cs="仿宋"/>
                <w:b/>
                <w:bCs/>
                <w:lang w:eastAsia="zh-CN"/>
              </w:rPr>
              <w:t>供应商</w:t>
            </w:r>
            <w:r>
              <w:rPr>
                <w:rFonts w:hint="eastAsia" w:ascii="仿宋" w:hAnsi="仿宋" w:eastAsia="仿宋" w:cs="仿宋"/>
                <w:b/>
                <w:bCs/>
              </w:rPr>
              <w:t>上传的原因，其责任由</w:t>
            </w:r>
            <w:r>
              <w:rPr>
                <w:rFonts w:hint="eastAsia" w:ascii="仿宋" w:hAnsi="仿宋" w:eastAsia="仿宋" w:cs="仿宋"/>
                <w:b/>
                <w:bCs/>
                <w:lang w:eastAsia="zh-CN"/>
              </w:rPr>
              <w:t>供应商</w:t>
            </w:r>
            <w:r>
              <w:rPr>
                <w:rFonts w:hint="eastAsia" w:ascii="仿宋" w:hAnsi="仿宋" w:eastAsia="仿宋" w:cs="仿宋"/>
                <w:b/>
                <w:bCs/>
              </w:rPr>
              <w:t>自行承担。</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1.4具体请登录</w:t>
            </w:r>
            <w:r>
              <w:rPr>
                <w:rFonts w:hint="eastAsia" w:ascii="仿宋" w:hAnsi="仿宋" w:eastAsia="仿宋" w:cs="仿宋"/>
                <w:b/>
                <w:bCs/>
                <w:lang w:eastAsia="zh-CN"/>
              </w:rPr>
              <w:t>西藏自治区公共资源交易网（http://ggzy.xizang.gov.cn）</w:t>
            </w:r>
            <w:r>
              <w:rPr>
                <w:rFonts w:hint="eastAsia" w:ascii="仿宋" w:hAnsi="仿宋" w:eastAsia="仿宋" w:cs="仿宋"/>
                <w:b/>
                <w:bCs/>
              </w:rPr>
              <w:t>认真了解流程和要求并严格按照操作手册制做</w:t>
            </w:r>
            <w:r>
              <w:rPr>
                <w:rFonts w:hint="eastAsia" w:ascii="仿宋" w:hAnsi="仿宋" w:eastAsia="仿宋" w:cs="仿宋"/>
                <w:b/>
                <w:bCs/>
                <w:lang w:eastAsia="zh-CN"/>
              </w:rPr>
              <w:t>响应文件</w:t>
            </w:r>
            <w:r>
              <w:rPr>
                <w:rFonts w:hint="eastAsia" w:ascii="仿宋" w:hAnsi="仿宋" w:eastAsia="仿宋" w:cs="仿宋"/>
                <w:b/>
                <w:bCs/>
              </w:rPr>
              <w:t>（建议</w:t>
            </w:r>
            <w:r>
              <w:rPr>
                <w:rFonts w:hint="eastAsia" w:ascii="仿宋" w:hAnsi="仿宋" w:eastAsia="仿宋" w:cs="仿宋"/>
                <w:b/>
                <w:bCs/>
                <w:lang w:eastAsia="zh-CN"/>
              </w:rPr>
              <w:t>供应商</w:t>
            </w:r>
            <w:r>
              <w:rPr>
                <w:rFonts w:hint="eastAsia" w:ascii="仿宋" w:hAnsi="仿宋" w:eastAsia="仿宋" w:cs="仿宋"/>
                <w:b/>
                <w:bCs/>
              </w:rPr>
              <w:t>将</w:t>
            </w:r>
            <w:r>
              <w:rPr>
                <w:rFonts w:hint="eastAsia" w:ascii="仿宋" w:hAnsi="仿宋" w:eastAsia="仿宋" w:cs="仿宋"/>
                <w:b/>
                <w:bCs/>
                <w:lang w:eastAsia="zh-CN"/>
              </w:rPr>
              <w:t>响应文件</w:t>
            </w:r>
            <w:r>
              <w:rPr>
                <w:rFonts w:hint="eastAsia" w:ascii="仿宋" w:hAnsi="仿宋" w:eastAsia="仿宋" w:cs="仿宋"/>
                <w:b/>
                <w:bCs/>
              </w:rPr>
              <w:t>中需要签字盖章的页面打印后签字盖章，再将已签字盖章的页面扫描成彩色PDF格式上传至电子交易系统，以保证</w:t>
            </w:r>
            <w:r>
              <w:rPr>
                <w:rFonts w:hint="eastAsia" w:ascii="仿宋" w:hAnsi="仿宋" w:eastAsia="仿宋" w:cs="仿宋"/>
                <w:b/>
                <w:bCs/>
                <w:lang w:eastAsia="zh-CN"/>
              </w:rPr>
              <w:t>响应文件</w:t>
            </w:r>
            <w:r>
              <w:rPr>
                <w:rFonts w:hint="eastAsia" w:ascii="仿宋" w:hAnsi="仿宋" w:eastAsia="仿宋" w:cs="仿宋"/>
                <w:b/>
                <w:bCs/>
              </w:rPr>
              <w:t>签章的完整性），在</w:t>
            </w:r>
            <w:r>
              <w:rPr>
                <w:rFonts w:hint="eastAsia" w:ascii="仿宋" w:hAnsi="仿宋" w:eastAsia="仿宋" w:cs="仿宋"/>
                <w:b/>
                <w:bCs/>
                <w:lang w:val="en-US" w:eastAsia="zh-CN"/>
              </w:rPr>
              <w:t>提交响应文件</w:t>
            </w:r>
            <w:r>
              <w:rPr>
                <w:rFonts w:hint="eastAsia" w:ascii="仿宋" w:hAnsi="仿宋" w:eastAsia="仿宋" w:cs="仿宋"/>
                <w:b/>
                <w:bCs/>
              </w:rPr>
              <w:t>截止时间前上传至</w:t>
            </w:r>
            <w:r>
              <w:rPr>
                <w:rFonts w:hint="eastAsia" w:ascii="仿宋" w:hAnsi="仿宋" w:eastAsia="仿宋" w:cs="仿宋"/>
                <w:b/>
                <w:bCs/>
                <w:lang w:val="en-US" w:eastAsia="zh-CN"/>
              </w:rPr>
              <w:t>西藏自治区</w:t>
            </w:r>
            <w:r>
              <w:rPr>
                <w:rFonts w:hint="eastAsia" w:ascii="仿宋" w:hAnsi="仿宋" w:eastAsia="仿宋" w:cs="仿宋"/>
                <w:b/>
                <w:bCs/>
              </w:rPr>
              <w:t>公共资源电子交易系统。</w:t>
            </w:r>
          </w:p>
          <w:p>
            <w:pPr>
              <w:pStyle w:val="62"/>
              <w:keepNext w:val="0"/>
              <w:keepLines w:val="0"/>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1.5根据《关于公共资源交易领域政府采购项目实行线上“不见面”开标的通知》，本项目采用不见面开标方式，</w:t>
            </w:r>
            <w:r>
              <w:rPr>
                <w:rFonts w:hint="eastAsia" w:ascii="仿宋" w:hAnsi="仿宋" w:eastAsia="仿宋" w:cs="仿宋"/>
                <w:b/>
                <w:bCs/>
                <w:lang w:eastAsia="zh-CN"/>
              </w:rPr>
              <w:t>供应商</w:t>
            </w:r>
            <w:r>
              <w:rPr>
                <w:rFonts w:hint="eastAsia" w:ascii="仿宋" w:hAnsi="仿宋" w:eastAsia="仿宋" w:cs="仿宋"/>
                <w:b/>
                <w:bCs/>
              </w:rPr>
              <w:t>不需要出席开标现场参与开标活动，</w:t>
            </w:r>
            <w:r>
              <w:rPr>
                <w:rFonts w:hint="eastAsia" w:ascii="仿宋" w:hAnsi="仿宋" w:eastAsia="仿宋" w:cs="仿宋"/>
                <w:b/>
                <w:bCs/>
                <w:lang w:eastAsia="zh-CN"/>
              </w:rPr>
              <w:t>供应商</w:t>
            </w:r>
            <w:r>
              <w:rPr>
                <w:rFonts w:hint="eastAsia" w:ascii="仿宋" w:hAnsi="仿宋" w:eastAsia="仿宋" w:cs="仿宋"/>
                <w:b/>
                <w:bCs/>
              </w:rPr>
              <w:t>通过线上“不见面开标”可全程参与开标会议，</w:t>
            </w:r>
            <w:r>
              <w:rPr>
                <w:rFonts w:hint="eastAsia" w:ascii="仿宋" w:hAnsi="仿宋" w:eastAsia="仿宋" w:cs="仿宋"/>
                <w:b/>
                <w:bCs/>
                <w:lang w:eastAsia="zh-CN"/>
              </w:rPr>
              <w:t>供应商</w:t>
            </w:r>
            <w:r>
              <w:rPr>
                <w:rFonts w:hint="eastAsia" w:ascii="仿宋" w:hAnsi="仿宋" w:eastAsia="仿宋" w:cs="仿宋"/>
                <w:b/>
                <w:bCs/>
              </w:rPr>
              <w:t>在规定的投标截止时间前登录</w:t>
            </w:r>
            <w:r>
              <w:rPr>
                <w:rFonts w:hint="eastAsia" w:ascii="仿宋" w:hAnsi="仿宋" w:eastAsia="仿宋" w:cs="仿宋"/>
                <w:b/>
                <w:bCs/>
                <w:lang w:val="en-US" w:eastAsia="zh-CN"/>
              </w:rPr>
              <w:t>西藏自治区</w:t>
            </w:r>
            <w:r>
              <w:rPr>
                <w:rFonts w:hint="eastAsia" w:ascii="仿宋" w:hAnsi="仿宋" w:eastAsia="仿宋" w:cs="仿宋"/>
                <w:b/>
                <w:bCs/>
              </w:rPr>
              <w:t>公共资源交易平台不见面开标大厅在线开标并保持在线状态，采购代理机构在投标截止时间后20分钟内发起解密，</w:t>
            </w:r>
            <w:r>
              <w:rPr>
                <w:rFonts w:hint="eastAsia" w:ascii="仿宋" w:hAnsi="仿宋" w:eastAsia="仿宋" w:cs="仿宋"/>
                <w:b/>
                <w:bCs/>
                <w:lang w:eastAsia="zh-CN"/>
              </w:rPr>
              <w:t>供应商</w:t>
            </w:r>
            <w:r>
              <w:rPr>
                <w:rFonts w:hint="eastAsia" w:ascii="仿宋" w:hAnsi="仿宋" w:eastAsia="仿宋" w:cs="仿宋"/>
                <w:b/>
                <w:bCs/>
              </w:rPr>
              <w:t>必须在30分钟内完成解密；否则</w:t>
            </w:r>
            <w:r>
              <w:rPr>
                <w:rFonts w:hint="eastAsia" w:ascii="仿宋" w:hAnsi="仿宋" w:eastAsia="仿宋" w:cs="仿宋"/>
                <w:b/>
                <w:bCs/>
                <w:lang w:eastAsia="zh-CN"/>
              </w:rPr>
              <w:t>供应商</w:t>
            </w:r>
            <w:r>
              <w:rPr>
                <w:rFonts w:hint="eastAsia" w:ascii="仿宋" w:hAnsi="仿宋" w:eastAsia="仿宋" w:cs="仿宋"/>
                <w:b/>
                <w:bCs/>
              </w:rPr>
              <w:t>对该项目投标无效，</w:t>
            </w:r>
            <w:r>
              <w:rPr>
                <w:rFonts w:hint="eastAsia" w:ascii="仿宋" w:hAnsi="仿宋" w:eastAsia="仿宋" w:cs="仿宋"/>
                <w:b/>
                <w:bCs/>
                <w:lang w:eastAsia="zh-CN"/>
              </w:rPr>
              <w:t>供应商</w:t>
            </w:r>
            <w:r>
              <w:rPr>
                <w:rFonts w:hint="eastAsia" w:ascii="仿宋" w:hAnsi="仿宋" w:eastAsia="仿宋" w:cs="仿宋"/>
                <w:b/>
                <w:bCs/>
              </w:rPr>
              <w:t>在</w:t>
            </w:r>
            <w:r>
              <w:rPr>
                <w:rFonts w:hint="eastAsia" w:ascii="仿宋" w:hAnsi="仿宋" w:eastAsia="仿宋" w:cs="仿宋"/>
                <w:b/>
                <w:bCs/>
                <w:lang w:val="en-US" w:eastAsia="zh-CN"/>
              </w:rPr>
              <w:t>提交响应文件</w:t>
            </w:r>
            <w:r>
              <w:rPr>
                <w:rFonts w:hint="eastAsia" w:ascii="仿宋" w:hAnsi="仿宋" w:eastAsia="仿宋" w:cs="仿宋"/>
                <w:b/>
                <w:bCs/>
              </w:rPr>
              <w:t>截止时间前需上传</w:t>
            </w:r>
            <w:r>
              <w:rPr>
                <w:rFonts w:hint="eastAsia" w:ascii="仿宋" w:hAnsi="仿宋" w:eastAsia="仿宋" w:cs="仿宋"/>
                <w:b/>
                <w:bCs/>
                <w:lang w:eastAsia="zh-CN"/>
              </w:rPr>
              <w:t>响应文件</w:t>
            </w:r>
            <w:r>
              <w:rPr>
                <w:rFonts w:hint="eastAsia" w:ascii="仿宋" w:hAnsi="仿宋" w:eastAsia="仿宋" w:cs="仿宋"/>
                <w:b/>
                <w:bCs/>
              </w:rPr>
              <w:t>至系统中。（注：本项目采用不见面开标方式，须</w:t>
            </w:r>
            <w:r>
              <w:rPr>
                <w:rFonts w:hint="eastAsia" w:ascii="仿宋" w:hAnsi="仿宋" w:eastAsia="仿宋" w:cs="仿宋"/>
                <w:b/>
                <w:bCs/>
                <w:lang w:eastAsia="zh-CN"/>
              </w:rPr>
              <w:t>供应商</w:t>
            </w:r>
            <w:r>
              <w:rPr>
                <w:rFonts w:hint="eastAsia" w:ascii="仿宋" w:hAnsi="仿宋" w:eastAsia="仿宋" w:cs="仿宋"/>
                <w:b/>
                <w:bCs/>
              </w:rPr>
              <w:t>远程在线完成</w:t>
            </w:r>
            <w:r>
              <w:rPr>
                <w:rFonts w:hint="eastAsia" w:ascii="仿宋" w:hAnsi="仿宋" w:eastAsia="仿宋" w:cs="仿宋"/>
                <w:b/>
                <w:bCs/>
                <w:lang w:eastAsia="zh-CN"/>
              </w:rPr>
              <w:t>响应文件</w:t>
            </w:r>
            <w:r>
              <w:rPr>
                <w:rFonts w:hint="eastAsia" w:ascii="仿宋" w:hAnsi="仿宋" w:eastAsia="仿宋" w:cs="仿宋"/>
                <w:b/>
                <w:bCs/>
              </w:rPr>
              <w:t>解密工作，请各潜在</w:t>
            </w:r>
            <w:r>
              <w:rPr>
                <w:rFonts w:hint="eastAsia" w:ascii="仿宋" w:hAnsi="仿宋" w:eastAsia="仿宋" w:cs="仿宋"/>
                <w:b/>
                <w:bCs/>
                <w:lang w:eastAsia="zh-CN"/>
              </w:rPr>
              <w:t>供应商</w:t>
            </w:r>
            <w:r>
              <w:rPr>
                <w:rFonts w:hint="eastAsia" w:ascii="仿宋" w:hAnsi="仿宋" w:eastAsia="仿宋" w:cs="仿宋"/>
                <w:b/>
                <w:bCs/>
              </w:rPr>
              <w:t>在电脑上安装CA驱动，否则影响解密工作一切后果自行承担。）。</w:t>
            </w:r>
          </w:p>
          <w:p>
            <w:pPr>
              <w:pStyle w:val="62"/>
              <w:keepNext w:val="0"/>
              <w:keepLines w:val="0"/>
              <w:numPr>
                <w:ilvl w:val="0"/>
                <w:numId w:val="4"/>
              </w:numPr>
              <w:suppressLineNumbers w:val="0"/>
              <w:spacing w:before="0" w:beforeAutospacing="0" w:after="0" w:afterAutospacing="0" w:line="360" w:lineRule="auto"/>
              <w:ind w:left="0" w:right="0" w:firstLine="482"/>
              <w:rPr>
                <w:rFonts w:hint="eastAsia" w:ascii="仿宋" w:hAnsi="仿宋" w:eastAsia="仿宋" w:cs="仿宋"/>
                <w:b/>
                <w:bCs/>
              </w:rPr>
            </w:pPr>
            <w:r>
              <w:rPr>
                <w:rFonts w:hint="eastAsia" w:ascii="仿宋" w:hAnsi="仿宋" w:eastAsia="仿宋" w:cs="仿宋"/>
                <w:b/>
                <w:bCs/>
              </w:rPr>
              <w:t>电子</w:t>
            </w:r>
            <w:r>
              <w:rPr>
                <w:rFonts w:hint="eastAsia" w:ascii="仿宋" w:hAnsi="仿宋" w:eastAsia="仿宋" w:cs="仿宋"/>
                <w:b/>
                <w:bCs/>
                <w:lang w:eastAsia="zh-CN"/>
              </w:rPr>
              <w:t>响应文件</w:t>
            </w:r>
            <w:r>
              <w:rPr>
                <w:rFonts w:hint="eastAsia" w:ascii="仿宋" w:hAnsi="仿宋" w:eastAsia="仿宋" w:cs="仿宋"/>
                <w:b/>
                <w:bCs/>
              </w:rPr>
              <w:t>签字、盖章要求:签字、盖章位置及要求应符合“</w:t>
            </w:r>
            <w:r>
              <w:rPr>
                <w:rFonts w:hint="eastAsia" w:ascii="仿宋" w:hAnsi="仿宋" w:eastAsia="仿宋" w:cs="仿宋"/>
                <w:b/>
                <w:bCs/>
                <w:lang w:eastAsia="zh-CN"/>
              </w:rPr>
              <w:t>响应文件</w:t>
            </w:r>
            <w:r>
              <w:rPr>
                <w:rFonts w:hint="eastAsia" w:ascii="仿宋" w:hAnsi="仿宋" w:eastAsia="仿宋" w:cs="仿宋"/>
                <w:b/>
                <w:bCs/>
              </w:rPr>
              <w:t>格式”规定。</w:t>
            </w:r>
          </w:p>
          <w:p>
            <w:pPr>
              <w:pStyle w:val="62"/>
              <w:keepNext w:val="0"/>
              <w:keepLines w:val="0"/>
              <w:numPr>
                <w:ilvl w:val="0"/>
                <w:numId w:val="4"/>
              </w:numPr>
              <w:suppressLineNumbers w:val="0"/>
              <w:spacing w:before="0" w:beforeAutospacing="0" w:after="0" w:afterAutospacing="0" w:line="360" w:lineRule="auto"/>
              <w:ind w:left="0" w:right="0" w:firstLine="482"/>
              <w:rPr>
                <w:rFonts w:hint="eastAsia" w:ascii="仿宋" w:hAnsi="仿宋" w:eastAsia="仿宋" w:cs="仿宋"/>
                <w:b/>
                <w:szCs w:val="20"/>
              </w:rPr>
            </w:pPr>
            <w:r>
              <w:rPr>
                <w:rFonts w:hint="eastAsia" w:ascii="仿宋" w:hAnsi="仿宋" w:eastAsia="仿宋" w:cs="仿宋"/>
                <w:b/>
                <w:bCs/>
              </w:rPr>
              <w:t>磋商有效期：60天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12</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递交响应文件截止时间：</w:t>
            </w:r>
            <w:r>
              <w:rPr>
                <w:rFonts w:hint="eastAsia" w:ascii="仿宋" w:hAnsi="仿宋" w:eastAsia="仿宋" w:cs="仿宋"/>
                <w:color w:val="FF0000"/>
                <w:kern w:val="0"/>
              </w:rPr>
              <w:t>2023年</w:t>
            </w:r>
            <w:r>
              <w:rPr>
                <w:rFonts w:hint="eastAsia" w:hAnsi="仿宋" w:cs="仿宋"/>
                <w:color w:val="FF0000"/>
                <w:kern w:val="0"/>
                <w:lang w:val="en-US" w:eastAsia="zh-CN"/>
              </w:rPr>
              <w:t>4</w:t>
            </w:r>
            <w:r>
              <w:rPr>
                <w:rFonts w:hint="eastAsia" w:ascii="仿宋" w:hAnsi="仿宋" w:eastAsia="仿宋" w:cs="仿宋"/>
                <w:color w:val="FF0000"/>
                <w:kern w:val="0"/>
              </w:rPr>
              <w:t>月</w:t>
            </w:r>
            <w:r>
              <w:rPr>
                <w:rFonts w:hint="eastAsia" w:hAnsi="仿宋" w:cs="仿宋"/>
                <w:color w:val="FF0000"/>
                <w:kern w:val="0"/>
                <w:lang w:val="en-US" w:eastAsia="zh-CN"/>
              </w:rPr>
              <w:t>11</w:t>
            </w:r>
            <w:r>
              <w:rPr>
                <w:rFonts w:hint="eastAsia" w:ascii="仿宋" w:hAnsi="仿宋" w:eastAsia="仿宋" w:cs="仿宋"/>
                <w:color w:val="FF0000"/>
                <w:kern w:val="0"/>
              </w:rPr>
              <w:t>日</w:t>
            </w:r>
            <w:r>
              <w:rPr>
                <w:rFonts w:hint="eastAsia" w:hAnsi="仿宋" w:cs="仿宋"/>
                <w:color w:val="FF0000"/>
                <w:kern w:val="0"/>
                <w:lang w:val="en-US" w:eastAsia="zh-CN"/>
              </w:rPr>
              <w:t>11</w:t>
            </w:r>
            <w:r>
              <w:rPr>
                <w:rFonts w:hint="eastAsia" w:ascii="仿宋" w:hAnsi="仿宋" w:eastAsia="仿宋" w:cs="仿宋"/>
                <w:color w:val="FF0000"/>
                <w:kern w:val="0"/>
              </w:rPr>
              <w:t xml:space="preserve">点 </w:t>
            </w:r>
            <w:r>
              <w:rPr>
                <w:rFonts w:hint="eastAsia" w:hAnsi="仿宋" w:cs="仿宋"/>
                <w:color w:val="FF0000"/>
                <w:kern w:val="0"/>
                <w:lang w:val="en-US" w:eastAsia="zh-CN"/>
              </w:rPr>
              <w:t>40</w:t>
            </w:r>
            <w:r>
              <w:rPr>
                <w:rFonts w:hint="eastAsia" w:ascii="仿宋" w:hAnsi="仿宋" w:eastAsia="仿宋" w:cs="仿宋"/>
                <w:color w:val="FF0000"/>
                <w:kern w:val="0"/>
              </w:rPr>
              <w:t xml:space="preserve">  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7"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13</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响应文件递交地点：西藏自治区公共资源交易中心。（</w:t>
            </w:r>
            <w:r>
              <w:rPr>
                <w:rFonts w:hint="eastAsia" w:ascii="仿宋" w:hAnsi="仿宋" w:eastAsia="仿宋" w:cs="仿宋"/>
                <w:lang w:eastAsia="zh-CN"/>
              </w:rPr>
              <w:t>供应商</w:t>
            </w:r>
            <w:r>
              <w:rPr>
                <w:rFonts w:hint="eastAsia" w:ascii="仿宋" w:hAnsi="仿宋" w:eastAsia="仿宋" w:cs="仿宋"/>
              </w:rPr>
              <w:t>请登录</w:t>
            </w:r>
            <w:r>
              <w:rPr>
                <w:rFonts w:hint="eastAsia" w:ascii="仿宋" w:hAnsi="仿宋" w:eastAsia="仿宋" w:cs="仿宋"/>
                <w:lang w:eastAsia="zh-CN"/>
              </w:rPr>
              <w:t>西藏自治区公共资源交易网（http://ggzy.xizang.gov.cn）</w:t>
            </w:r>
            <w:r>
              <w:rPr>
                <w:rFonts w:hint="eastAsia" w:ascii="仿宋" w:hAnsi="仿宋" w:eastAsia="仿宋" w:cs="仿宋"/>
              </w:rPr>
              <w:t>提交电子</w:t>
            </w:r>
            <w:r>
              <w:rPr>
                <w:rFonts w:hint="eastAsia" w:ascii="仿宋" w:hAnsi="仿宋" w:eastAsia="仿宋" w:cs="仿宋"/>
                <w:lang w:eastAsia="zh-CN"/>
              </w:rPr>
              <w:t>响应文件</w:t>
            </w:r>
            <w:r>
              <w:rPr>
                <w:rFonts w:hint="eastAsia" w:ascii="仿宋" w:hAnsi="仿宋" w:eastAsia="仿宋" w:cs="仿宋"/>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39"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14</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u w:val="single"/>
              </w:rPr>
            </w:pPr>
            <w:r>
              <w:rPr>
                <w:rFonts w:hint="eastAsia" w:ascii="仿宋" w:hAnsi="仿宋" w:eastAsia="仿宋" w:cs="仿宋"/>
              </w:rPr>
              <w:t>磋商时间：</w:t>
            </w:r>
            <w:r>
              <w:rPr>
                <w:rFonts w:hint="eastAsia" w:ascii="仿宋" w:hAnsi="仿宋" w:eastAsia="仿宋" w:cs="仿宋"/>
                <w:color w:val="FF0000"/>
                <w:kern w:val="0"/>
              </w:rPr>
              <w:t>2023年</w:t>
            </w:r>
            <w:r>
              <w:rPr>
                <w:rFonts w:hint="eastAsia" w:hAnsi="仿宋" w:cs="仿宋"/>
                <w:color w:val="FF0000"/>
                <w:kern w:val="0"/>
                <w:lang w:val="en-US" w:eastAsia="zh-CN"/>
              </w:rPr>
              <w:t>4</w:t>
            </w:r>
            <w:r>
              <w:rPr>
                <w:rFonts w:hint="eastAsia" w:ascii="仿宋" w:hAnsi="仿宋" w:eastAsia="仿宋" w:cs="仿宋"/>
                <w:color w:val="FF0000"/>
                <w:kern w:val="0"/>
              </w:rPr>
              <w:t>月</w:t>
            </w:r>
            <w:r>
              <w:rPr>
                <w:rFonts w:hint="eastAsia" w:hAnsi="仿宋" w:cs="仿宋"/>
                <w:color w:val="FF0000"/>
                <w:kern w:val="0"/>
                <w:lang w:val="en-US" w:eastAsia="zh-CN"/>
              </w:rPr>
              <w:t>11</w:t>
            </w:r>
            <w:r>
              <w:rPr>
                <w:rFonts w:hint="eastAsia" w:ascii="仿宋" w:hAnsi="仿宋" w:eastAsia="仿宋" w:cs="仿宋"/>
                <w:color w:val="FF0000"/>
                <w:kern w:val="0"/>
              </w:rPr>
              <w:t>日</w:t>
            </w:r>
            <w:r>
              <w:rPr>
                <w:rFonts w:hint="eastAsia" w:hAnsi="仿宋" w:cs="仿宋"/>
                <w:color w:val="FF0000"/>
                <w:kern w:val="0"/>
                <w:lang w:val="en-US" w:eastAsia="zh-CN"/>
              </w:rPr>
              <w:t>11</w:t>
            </w:r>
            <w:r>
              <w:rPr>
                <w:rFonts w:hint="eastAsia" w:ascii="仿宋" w:hAnsi="仿宋" w:eastAsia="仿宋" w:cs="仿宋"/>
                <w:color w:val="FF0000"/>
                <w:kern w:val="0"/>
              </w:rPr>
              <w:t xml:space="preserve">点 </w:t>
            </w:r>
            <w:r>
              <w:rPr>
                <w:rFonts w:hint="eastAsia" w:hAnsi="仿宋" w:cs="仿宋"/>
                <w:color w:val="FF0000"/>
                <w:kern w:val="0"/>
                <w:lang w:val="en-US" w:eastAsia="zh-CN"/>
              </w:rPr>
              <w:t>40</w:t>
            </w:r>
            <w:r>
              <w:rPr>
                <w:rFonts w:hint="eastAsia" w:ascii="仿宋" w:hAnsi="仿宋" w:eastAsia="仿宋" w:cs="仿宋"/>
                <w:color w:val="FF0000"/>
                <w:kern w:val="0"/>
              </w:rPr>
              <w:t xml:space="preserve">  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15</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磋商地点：西藏自治区公共资源交易中心。（</w:t>
            </w:r>
            <w:r>
              <w:rPr>
                <w:rFonts w:hint="eastAsia" w:ascii="仿宋" w:hAnsi="仿宋" w:eastAsia="仿宋" w:cs="仿宋"/>
                <w:lang w:eastAsia="zh-CN"/>
              </w:rPr>
              <w:t>供应商</w:t>
            </w:r>
            <w:r>
              <w:rPr>
                <w:rFonts w:hint="eastAsia" w:ascii="仿宋" w:hAnsi="仿宋" w:eastAsia="仿宋" w:cs="仿宋"/>
              </w:rPr>
              <w:t>请登录</w:t>
            </w:r>
            <w:r>
              <w:rPr>
                <w:rFonts w:hint="eastAsia" w:ascii="仿宋" w:hAnsi="仿宋" w:eastAsia="仿宋" w:cs="仿宋"/>
                <w:lang w:eastAsia="zh-CN"/>
              </w:rPr>
              <w:t>西藏自治区公共资源交易网（http://ggzy.xizang.gov.cn）</w:t>
            </w:r>
            <w:r>
              <w:rPr>
                <w:rFonts w:hint="eastAsia" w:ascii="仿宋" w:hAnsi="仿宋" w:eastAsia="仿宋" w:cs="仿宋"/>
              </w:rPr>
              <w:t>提交电子</w:t>
            </w:r>
            <w:r>
              <w:rPr>
                <w:rFonts w:hint="eastAsia" w:ascii="仿宋" w:hAnsi="仿宋" w:eastAsia="仿宋" w:cs="仿宋"/>
                <w:lang w:eastAsia="zh-CN"/>
              </w:rPr>
              <w:t>响应文件</w:t>
            </w:r>
            <w:r>
              <w:rPr>
                <w:rFonts w:hint="eastAsia" w:ascii="仿宋" w:hAnsi="仿宋" w:eastAsia="仿宋" w:cs="仿宋"/>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37"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rPr>
            </w:pPr>
            <w:r>
              <w:rPr>
                <w:rFonts w:hint="eastAsia" w:ascii="仿宋" w:hAnsi="仿宋" w:eastAsia="仿宋" w:cs="仿宋"/>
              </w:rPr>
              <w:t>16</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kern w:val="0"/>
                <w:lang w:eastAsia="zh-CN"/>
              </w:rPr>
            </w:pPr>
            <w:r>
              <w:rPr>
                <w:rFonts w:hint="eastAsia" w:ascii="仿宋" w:hAnsi="仿宋" w:eastAsia="仿宋" w:cs="仿宋"/>
              </w:rPr>
              <w:t>合同履行期限</w:t>
            </w:r>
            <w:r>
              <w:rPr>
                <w:rFonts w:hint="eastAsia" w:ascii="仿宋" w:hAnsi="仿宋" w:eastAsia="仿宋" w:cs="仿宋"/>
                <w:kern w:val="0"/>
              </w:rPr>
              <w:t>：服务期为一年（2023年5月11日-2024年5月11日）</w:t>
            </w:r>
            <w:r>
              <w:rPr>
                <w:rFonts w:hint="eastAsia" w:ascii="仿宋" w:hAnsi="仿宋" w:eastAsia="仿宋" w:cs="仿宋"/>
                <w:szCs w:val="24"/>
                <w:lang w:eastAsia="zh-CN"/>
              </w:rPr>
              <w:t>。</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
                <w:lang w:eastAsia="zh-CN"/>
              </w:rPr>
            </w:pPr>
            <w:r>
              <w:rPr>
                <w:rFonts w:hint="eastAsia" w:ascii="仿宋" w:hAnsi="仿宋" w:eastAsia="仿宋" w:cs="仿宋"/>
                <w:kern w:val="0"/>
              </w:rPr>
              <w:t>地点：本次服务涉及西藏自治区无线电监测站，以及林芝、山南、日喀则、昌都、那曲和阿里地区无线电管理局</w:t>
            </w:r>
            <w:r>
              <w:rPr>
                <w:rFonts w:hint="eastAsia" w:ascii="仿宋" w:hAnsi="仿宋" w:eastAsia="仿宋" w:cs="仿宋"/>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val="en-US" w:eastAsia="zh-CN"/>
              </w:rPr>
              <w:t>7</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lang w:val="en-US" w:eastAsia="zh-CN"/>
              </w:rPr>
            </w:pPr>
            <w:r>
              <w:rPr>
                <w:rFonts w:hint="eastAsia" w:ascii="仿宋" w:hAnsi="仿宋" w:eastAsia="仿宋" w:cs="仿宋"/>
                <w:lang w:val="en-US" w:eastAsia="zh-CN"/>
              </w:rPr>
              <w:t>成交原则</w:t>
            </w:r>
          </w:p>
          <w:p>
            <w:pPr>
              <w:pStyle w:val="62"/>
              <w:keepNext w:val="0"/>
              <w:keepLines w:val="0"/>
              <w:suppressLineNumbers w:val="0"/>
              <w:spacing w:before="0" w:beforeAutospacing="0" w:after="0" w:afterAutospacing="0" w:line="360" w:lineRule="auto"/>
              <w:ind w:left="0" w:right="0"/>
              <w:rPr>
                <w:rFonts w:hint="eastAsia" w:ascii="仿宋" w:hAnsi="仿宋" w:eastAsia="仿宋" w:cs="仿宋"/>
              </w:rPr>
            </w:pPr>
            <w:r>
              <w:rPr>
                <w:rFonts w:hint="eastAsia" w:ascii="仿宋" w:hAnsi="仿宋" w:eastAsia="仿宋" w:cs="仿宋"/>
              </w:rPr>
              <w:t>1.评标委员会推荐中标候选人1-3名；</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
              </w:rPr>
            </w:pPr>
            <w:r>
              <w:rPr>
                <w:rFonts w:hint="eastAsia" w:ascii="仿宋" w:hAnsi="仿宋" w:eastAsia="仿宋" w:cs="仿宋"/>
              </w:rPr>
              <w:t>2.由采购人根据评标委员会推荐的候选人名单中确定综合排名第一的中标候选人为中标人，份额分配为100%。在签订合同之前，中标人放弃中标或者不能履行合同的，不按照</w:t>
            </w:r>
            <w:r>
              <w:rPr>
                <w:rFonts w:hint="eastAsia" w:ascii="仿宋" w:hAnsi="仿宋" w:eastAsia="仿宋" w:cs="仿宋"/>
                <w:lang w:eastAsia="zh-CN"/>
              </w:rPr>
              <w:t>竞争性磋商文件</w:t>
            </w:r>
            <w:r>
              <w:rPr>
                <w:rFonts w:hint="eastAsia" w:ascii="仿宋" w:hAnsi="仿宋" w:eastAsia="仿宋" w:cs="仿宋"/>
              </w:rPr>
              <w:t>要求提交履约保证金，或者被查实存在影响中标结果的违法行为等情形，不符合中标条件的，采购人可以按照评标委员会提出的中标候选人名单排序依次确定其他中标候选人为中标人，也可以重新招标。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lang w:val="en-US" w:eastAsia="zh-CN"/>
              </w:rPr>
            </w:pPr>
            <w:r>
              <w:rPr>
                <w:rFonts w:hint="eastAsia" w:ascii="仿宋" w:hAnsi="仿宋" w:eastAsia="仿宋" w:cs="仿宋"/>
                <w:lang w:val="en-US" w:eastAsia="zh-CN"/>
              </w:rPr>
              <w:t>政策鼓励</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1.本次采购执行《政府采购促进中小企业发展管理办法》（财库[2020]46号）、《关于进一步加大政府采购支持中小企业力度的通知》（财库〔2022〕19号）、《关于政府采购支持监狱企业发展有关问题的通知》（财库[2014]68号）、《关于促进残疾人就业政府采购政策的通知》（财库[2017]141号）政策，对小型、微型、监狱企业、残疾人福利性单位的投标价格给予价格扣除，以扣除后的价格参与评审。</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根据《政府采购中小企业发展管理办法》规定，对小型和微型企业（监狱、戒毒企业、符合（财库〔2017〕141号）要求条件的残疾人企业视同小微企业）的产品价格给予10%的扣除。参与政府采购活动的中小企业、监狱、戒毒企业应当提供本办法规定的声明函《中小企业声明函》、《监狱、戒毒企业声明函》。</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2.本次采购执行《财政部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政策、《财政部办公厅、生态环境部办公厅、国家邮政局办公室(关于印发商品包装政府采购需求标准（试行））、（快递包装政府采购需求标准（试行））的通知（财办库【2020】123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19</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eastAsia="zh-CN"/>
                <w14:textFill>
                  <w14:solidFill>
                    <w14:schemeClr w14:val="tx1"/>
                  </w14:solidFill>
                </w14:textFill>
              </w:rPr>
              <w:t>低于成本价不正当竞争预防措施</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Cs/>
              </w:rPr>
            </w:pPr>
            <w:r>
              <w:rPr>
                <w:rFonts w:hint="eastAsia" w:ascii="仿宋" w:hAnsi="仿宋" w:eastAsia="仿宋" w:cs="仿宋"/>
                <w:bCs/>
              </w:rPr>
              <w:t>评标委员会认为</w:t>
            </w:r>
            <w:r>
              <w:rPr>
                <w:rFonts w:hint="eastAsia" w:ascii="仿宋" w:hAnsi="仿宋" w:eastAsia="仿宋" w:cs="仿宋"/>
                <w:bCs/>
                <w:lang w:eastAsia="zh-CN"/>
              </w:rPr>
              <w:t>供应商</w:t>
            </w:r>
            <w:r>
              <w:rPr>
                <w:rFonts w:hint="eastAsia" w:ascii="仿宋" w:hAnsi="仿宋" w:eastAsia="仿宋" w:cs="仿宋"/>
                <w:bCs/>
              </w:rPr>
              <w:t>的报价明显低于其他通过符合性审查</w:t>
            </w:r>
            <w:r>
              <w:rPr>
                <w:rFonts w:hint="eastAsia" w:ascii="仿宋" w:hAnsi="仿宋" w:eastAsia="仿宋" w:cs="仿宋"/>
                <w:bCs/>
                <w:lang w:eastAsia="zh-CN"/>
              </w:rPr>
              <w:t>供应商</w:t>
            </w:r>
            <w:r>
              <w:rPr>
                <w:rFonts w:hint="eastAsia" w:ascii="仿宋" w:hAnsi="仿宋" w:eastAsia="仿宋" w:cs="仿宋"/>
                <w:bCs/>
              </w:rPr>
              <w:t>的报价，有可能影响产品质量或者不能诚信履约的，应当要求其在评标现场合理时间内提供书面说明，必要时提交相关证明材料；</w:t>
            </w:r>
            <w:r>
              <w:rPr>
                <w:rFonts w:hint="eastAsia" w:ascii="仿宋" w:hAnsi="仿宋" w:eastAsia="仿宋" w:cs="仿宋"/>
                <w:bCs/>
                <w:lang w:eastAsia="zh-CN"/>
              </w:rPr>
              <w:t>供应商</w:t>
            </w:r>
            <w:r>
              <w:rPr>
                <w:rFonts w:hint="eastAsia" w:ascii="仿宋" w:hAnsi="仿宋" w:eastAsia="仿宋" w:cs="仿宋"/>
                <w:bCs/>
              </w:rPr>
              <w:t>不能证明其报价合理性的，评标委员会应当将其作为无效投标处理。</w:t>
            </w:r>
            <w:r>
              <w:rPr>
                <w:rFonts w:hint="eastAsia" w:ascii="仿宋" w:hAnsi="仿宋" w:eastAsia="仿宋" w:cs="仿宋"/>
                <w:bCs/>
                <w:lang w:eastAsia="zh-CN"/>
              </w:rPr>
              <w:t>供应商</w:t>
            </w:r>
            <w:r>
              <w:rPr>
                <w:rFonts w:hint="eastAsia" w:ascii="仿宋" w:hAnsi="仿宋" w:eastAsia="仿宋" w:cs="仿宋"/>
                <w:bCs/>
              </w:rPr>
              <w:t>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Cs/>
              </w:rPr>
            </w:pPr>
            <w:r>
              <w:rPr>
                <w:rFonts w:hint="eastAsia" w:ascii="仿宋" w:hAnsi="仿宋" w:eastAsia="仿宋" w:cs="仿宋"/>
                <w:bCs/>
                <w:lang w:eastAsia="zh-CN"/>
              </w:rPr>
              <w:t>供应商</w:t>
            </w:r>
            <w:r>
              <w:rPr>
                <w:rFonts w:hint="eastAsia" w:ascii="仿宋" w:hAnsi="仿宋" w:eastAsia="仿宋" w:cs="仿宋"/>
                <w:bCs/>
              </w:rPr>
              <w:t>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bCs/>
              </w:rPr>
            </w:pPr>
            <w:r>
              <w:rPr>
                <w:rFonts w:hint="eastAsia" w:ascii="仿宋" w:hAnsi="仿宋" w:eastAsia="仿宋" w:cs="仿宋"/>
                <w:bCs/>
                <w:lang w:eastAsia="zh-CN"/>
              </w:rPr>
              <w:t>供应商</w:t>
            </w:r>
            <w:r>
              <w:rPr>
                <w:rFonts w:hint="eastAsia" w:ascii="仿宋" w:hAnsi="仿宋" w:eastAsia="仿宋" w:cs="仿宋"/>
                <w:bCs/>
              </w:rPr>
              <w:t>提供书面说明后，评标委员会应当结合采购项目采购需求、专业实际情况、</w:t>
            </w:r>
            <w:r>
              <w:rPr>
                <w:rFonts w:hint="eastAsia" w:ascii="仿宋" w:hAnsi="仿宋" w:eastAsia="仿宋" w:cs="仿宋"/>
                <w:bCs/>
                <w:lang w:eastAsia="zh-CN"/>
              </w:rPr>
              <w:t>供应商</w:t>
            </w:r>
            <w:r>
              <w:rPr>
                <w:rFonts w:hint="eastAsia" w:ascii="仿宋" w:hAnsi="仿宋" w:eastAsia="仿宋" w:cs="仿宋"/>
                <w:bCs/>
              </w:rPr>
              <w:t>财务状况报告、与其他</w:t>
            </w:r>
            <w:r>
              <w:rPr>
                <w:rFonts w:hint="eastAsia" w:ascii="仿宋" w:hAnsi="仿宋" w:eastAsia="仿宋" w:cs="仿宋"/>
                <w:bCs/>
                <w:lang w:eastAsia="zh-CN"/>
              </w:rPr>
              <w:t>供应商</w:t>
            </w:r>
            <w:r>
              <w:rPr>
                <w:rFonts w:hint="eastAsia" w:ascii="仿宋" w:hAnsi="仿宋" w:eastAsia="仿宋" w:cs="仿宋"/>
                <w:bCs/>
              </w:rPr>
              <w:t>比较情况等就</w:t>
            </w:r>
            <w:r>
              <w:rPr>
                <w:rFonts w:hint="eastAsia" w:ascii="仿宋" w:hAnsi="仿宋" w:eastAsia="仿宋" w:cs="仿宋"/>
                <w:bCs/>
                <w:lang w:eastAsia="zh-CN"/>
              </w:rPr>
              <w:t>供应商</w:t>
            </w:r>
            <w:r>
              <w:rPr>
                <w:rFonts w:hint="eastAsia" w:ascii="仿宋" w:hAnsi="仿宋" w:eastAsia="仿宋" w:cs="仿宋"/>
                <w:bCs/>
              </w:rPr>
              <w:t>书面说明进行审查评价。</w:t>
            </w:r>
            <w:r>
              <w:rPr>
                <w:rFonts w:hint="eastAsia" w:ascii="仿宋" w:hAnsi="仿宋" w:eastAsia="仿宋" w:cs="仿宋"/>
                <w:bCs/>
                <w:lang w:eastAsia="zh-CN"/>
              </w:rPr>
              <w:t>供应商</w:t>
            </w:r>
            <w:r>
              <w:rPr>
                <w:rFonts w:hint="eastAsia" w:ascii="仿宋" w:hAnsi="仿宋" w:eastAsia="仿宋" w:cs="仿宋"/>
                <w:bCs/>
              </w:rPr>
              <w:t>拒绝或者变相拒绝提供有效书面说明或者书面说明不能证明其报价合理性的，评标委员会应当将其</w:t>
            </w:r>
            <w:r>
              <w:rPr>
                <w:rFonts w:hint="eastAsia" w:ascii="仿宋" w:hAnsi="仿宋" w:eastAsia="仿宋" w:cs="仿宋"/>
                <w:bCs/>
                <w:lang w:eastAsia="zh-CN"/>
              </w:rPr>
              <w:t>响应文件</w:t>
            </w:r>
            <w:r>
              <w:rPr>
                <w:rFonts w:hint="eastAsia" w:ascii="仿宋" w:hAnsi="仿宋" w:eastAsia="仿宋" w:cs="仿宋"/>
                <w:bCs/>
              </w:rPr>
              <w:t>作为无效处理。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0</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验收：</w:t>
            </w:r>
            <w:r>
              <w:rPr>
                <w:rFonts w:hint="eastAsia" w:ascii="仿宋" w:hAnsi="仿宋" w:eastAsia="仿宋" w:cs="仿宋"/>
                <w:szCs w:val="24"/>
              </w:rPr>
              <w:t>采购人根据磋商文件、响应文件、国家规定、行业规定、《西藏自治区政府采购履约验收管理办法》等要求组织验收。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1</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rPr>
              <w:t>本文件所述时间均为24小时制的北京时间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22</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采购</w:t>
            </w:r>
            <w:r>
              <w:rPr>
                <w:rFonts w:hint="eastAsia" w:ascii="仿宋" w:hAnsi="仿宋" w:eastAsia="仿宋" w:cs="仿宋"/>
                <w:color w:val="000000" w:themeColor="text1"/>
                <w:sz w:val="24"/>
                <w:szCs w:val="24"/>
                <w14:textFill>
                  <w14:solidFill>
                    <w14:schemeClr w14:val="tx1"/>
                  </w14:solidFill>
                </w14:textFill>
              </w:rPr>
              <w:t>代理服务费</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rPr>
            </w:pPr>
            <w:r>
              <w:rPr>
                <w:rFonts w:hint="eastAsia" w:ascii="仿宋" w:hAnsi="仿宋" w:eastAsia="仿宋" w:cs="仿宋"/>
                <w:color w:val="000000" w:themeColor="text1"/>
                <w:sz w:val="24"/>
                <w:szCs w:val="24"/>
                <w14:textFill>
                  <w14:solidFill>
                    <w14:schemeClr w14:val="tx1"/>
                  </w14:solidFill>
                </w14:textFill>
              </w:rPr>
              <w:t>本次代理服务费金额为：中标金额</w:t>
            </w:r>
            <w:r>
              <w:rPr>
                <w:rFonts w:hint="eastAsia" w:ascii="仿宋" w:hAnsi="仿宋" w:eastAsia="仿宋" w:cs="仿宋"/>
                <w:color w:val="000000" w:themeColor="text1"/>
                <w:sz w:val="24"/>
                <w:szCs w:val="24"/>
                <w:lang w:eastAsia="zh-CN"/>
                <w14:textFill>
                  <w14:solidFill>
                    <w14:schemeClr w14:val="tx1"/>
                  </w14:solidFill>
                </w14:textFill>
              </w:rPr>
              <w:t>1.5%</w:t>
            </w:r>
            <w:r>
              <w:rPr>
                <w:rFonts w:hint="eastAsia" w:ascii="仿宋" w:hAnsi="仿宋" w:eastAsia="仿宋" w:cs="仿宋"/>
                <w:color w:val="000000" w:themeColor="text1"/>
                <w:sz w:val="24"/>
                <w:szCs w:val="24"/>
                <w:lang w:val="en-US" w:eastAsia="zh-CN"/>
                <w14:textFill>
                  <w14:solidFill>
                    <w14:schemeClr w14:val="tx1"/>
                  </w14:solidFill>
                </w14:textFill>
              </w:rPr>
              <w:t>的基础上下浮10%</w:t>
            </w:r>
            <w:r>
              <w:rPr>
                <w:rFonts w:hint="eastAsia" w:ascii="仿宋" w:hAnsi="仿宋" w:eastAsia="仿宋" w:cs="仿宋"/>
                <w:color w:val="000000" w:themeColor="text1"/>
                <w:sz w:val="24"/>
                <w:szCs w:val="24"/>
                <w14:textFill>
                  <w14:solidFill>
                    <w14:schemeClr w14:val="tx1"/>
                  </w14:solidFill>
                </w14:textFill>
              </w:rPr>
              <w:t>，由</w:t>
            </w:r>
            <w:r>
              <w:rPr>
                <w:rFonts w:hint="eastAsia" w:ascii="仿宋" w:hAnsi="仿宋" w:eastAsia="仿宋" w:cs="仿宋"/>
                <w:color w:val="000000" w:themeColor="text1"/>
                <w:sz w:val="24"/>
                <w:szCs w:val="24"/>
                <w:lang w:val="en-US"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人支付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23</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转包要求</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本项目不接受转包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24</w:t>
            </w:r>
          </w:p>
        </w:tc>
        <w:tc>
          <w:tcPr>
            <w:tcW w:w="9214" w:type="dxa"/>
            <w:noWrap w:val="0"/>
            <w:vAlign w:val="center"/>
          </w:tcPr>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eastAsia="zh-CN"/>
                <w14:textFill>
                  <w14:solidFill>
                    <w14:schemeClr w14:val="tx1"/>
                  </w14:solidFill>
                </w14:textFill>
              </w:rPr>
              <w:t>禁止参加本次采购活动的供应商</w:t>
            </w:r>
          </w:p>
          <w:p>
            <w:pPr>
              <w:pStyle w:val="57"/>
              <w:keepNext w:val="0"/>
              <w:keepLines w:val="0"/>
              <w:suppressLineNumbers w:val="0"/>
              <w:tabs>
                <w:tab w:val="left" w:pos="831"/>
              </w:tabs>
              <w:spacing w:before="96" w:beforeAutospacing="0" w:after="0" w:afterAutospacing="0" w:line="360" w:lineRule="auto"/>
              <w:ind w:left="0" w:right="-29" w:firstLine="480" w:firstLineChars="20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1.根据《关于在政府采购活动中查询及使用信用记录有关问</w:t>
            </w:r>
            <w:r>
              <w:rPr>
                <w:rFonts w:hint="eastAsia" w:ascii="仿宋" w:hAnsi="仿宋" w:eastAsia="仿宋" w:cs="仿宋"/>
                <w:color w:val="000000" w:themeColor="text1"/>
                <w:spacing w:val="-6"/>
                <w:sz w:val="24"/>
                <w14:textFill>
                  <w14:solidFill>
                    <w14:schemeClr w14:val="tx1"/>
                  </w14:solidFill>
                </w14:textFill>
              </w:rPr>
              <w:t>题的通知》</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pacing w:val="-6"/>
                <w:sz w:val="24"/>
                <w14:textFill>
                  <w14:solidFill>
                    <w14:schemeClr w14:val="tx1"/>
                  </w14:solidFill>
                </w14:textFill>
              </w:rPr>
              <w:t>财库〔</w:t>
            </w:r>
            <w:r>
              <w:rPr>
                <w:rFonts w:hint="eastAsia" w:ascii="仿宋" w:hAnsi="仿宋" w:eastAsia="仿宋" w:cs="仿宋"/>
                <w:color w:val="000000" w:themeColor="text1"/>
                <w:sz w:val="24"/>
                <w14:textFill>
                  <w14:solidFill>
                    <w14:schemeClr w14:val="tx1"/>
                  </w14:solidFill>
                </w14:textFill>
              </w:rPr>
              <w:t>2016</w:t>
            </w:r>
            <w:r>
              <w:rPr>
                <w:rFonts w:hint="eastAsia" w:ascii="仿宋" w:hAnsi="仿宋" w:eastAsia="仿宋" w:cs="仿宋"/>
                <w:color w:val="000000" w:themeColor="text1"/>
                <w:spacing w:val="-15"/>
                <w:sz w:val="24"/>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125号</w:t>
            </w:r>
            <w:r>
              <w:rPr>
                <w:rFonts w:hint="eastAsia" w:ascii="仿宋" w:hAnsi="仿宋" w:eastAsia="仿宋" w:cs="仿宋"/>
                <w:color w:val="000000" w:themeColor="text1"/>
                <w:spacing w:val="-15"/>
                <w:sz w:val="24"/>
                <w14:textFill>
                  <w14:solidFill>
                    <w14:schemeClr w14:val="tx1"/>
                  </w14:solidFill>
                </w14:textFill>
              </w:rPr>
              <w:t>）</w:t>
            </w:r>
            <w:r>
              <w:rPr>
                <w:rFonts w:hint="eastAsia" w:ascii="仿宋" w:hAnsi="仿宋" w:eastAsia="仿宋" w:cs="仿宋"/>
                <w:color w:val="000000" w:themeColor="text1"/>
                <w:spacing w:val="-3"/>
                <w:sz w:val="24"/>
                <w14:textFill>
                  <w14:solidFill>
                    <w14:schemeClr w14:val="tx1"/>
                  </w14:solidFill>
                </w14:textFill>
              </w:rPr>
              <w:t>的要求，采购代理机构将通过“信用中国”网站</w:t>
            </w:r>
            <w:r>
              <w:rPr>
                <w:rFonts w:hint="eastAsia" w:ascii="仿宋" w:hAnsi="仿宋" w:eastAsia="仿宋" w:cs="仿宋"/>
                <w:color w:val="000000" w:themeColor="text1"/>
                <w:spacing w:val="-3"/>
                <w:sz w:val="18"/>
                <w:szCs w:val="18"/>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fldChar w:fldCharType="begin"/>
            </w:r>
            <w:r>
              <w:rPr>
                <w:rFonts w:hint="eastAsia" w:ascii="仿宋" w:hAnsi="仿宋" w:eastAsia="仿宋" w:cs="仿宋"/>
                <w:color w:val="000000" w:themeColor="text1"/>
                <w14:textFill>
                  <w14:solidFill>
                    <w14:schemeClr w14:val="tx1"/>
                  </w14:solidFill>
                </w14:textFill>
              </w:rPr>
              <w:instrText xml:space="preserve"> HYPERLINK "http://www.creditchina.gov.cn/" \h </w:instrText>
            </w:r>
            <w:r>
              <w:rPr>
                <w:rFonts w:hint="eastAsia" w:ascii="仿宋" w:hAnsi="仿宋" w:eastAsia="仿宋" w:cs="仿宋"/>
                <w:color w:val="000000" w:themeColor="text1"/>
                <w14:textFill>
                  <w14:solidFill>
                    <w14:schemeClr w14:val="tx1"/>
                  </w14:solidFill>
                </w14:textFill>
              </w:rPr>
              <w:fldChar w:fldCharType="separate"/>
            </w:r>
            <w:r>
              <w:rPr>
                <w:rFonts w:hint="eastAsia" w:ascii="仿宋" w:hAnsi="仿宋" w:eastAsia="仿宋" w:cs="仿宋"/>
                <w:color w:val="000000" w:themeColor="text1"/>
                <w:spacing w:val="-3"/>
                <w:sz w:val="18"/>
                <w:szCs w:val="18"/>
                <w14:textFill>
                  <w14:solidFill>
                    <w14:schemeClr w14:val="tx1"/>
                  </w14:solidFill>
                </w14:textFill>
              </w:rPr>
              <w:t>www.creditchina.gov.cn</w:t>
            </w:r>
            <w:r>
              <w:rPr>
                <w:rFonts w:hint="eastAsia" w:ascii="仿宋" w:hAnsi="仿宋" w:eastAsia="仿宋" w:cs="仿宋"/>
                <w:color w:val="000000" w:themeColor="text1"/>
                <w:spacing w:val="-3"/>
                <w:sz w:val="18"/>
                <w:szCs w:val="18"/>
                <w14:textFill>
                  <w14:solidFill>
                    <w14:schemeClr w14:val="tx1"/>
                  </w14:solidFill>
                </w14:textFill>
              </w:rPr>
              <w:fldChar w:fldCharType="end"/>
            </w:r>
            <w:r>
              <w:rPr>
                <w:rFonts w:hint="eastAsia" w:ascii="仿宋" w:hAnsi="仿宋" w:eastAsia="仿宋" w:cs="仿宋"/>
                <w:color w:val="000000" w:themeColor="text1"/>
                <w:spacing w:val="-3"/>
                <w:sz w:val="18"/>
                <w:szCs w:val="18"/>
                <w14:textFill>
                  <w14:solidFill>
                    <w14:schemeClr w14:val="tx1"/>
                  </w14:solidFill>
                </w14:textFill>
              </w:rPr>
              <w:t>）</w:t>
            </w:r>
            <w:r>
              <w:rPr>
                <w:rFonts w:hint="eastAsia" w:ascii="仿宋" w:hAnsi="仿宋" w:eastAsia="仿宋" w:cs="仿宋"/>
                <w:color w:val="000000" w:themeColor="text1"/>
                <w:spacing w:val="-3"/>
                <w:sz w:val="24"/>
                <w14:textFill>
                  <w14:solidFill>
                    <w14:schemeClr w14:val="tx1"/>
                  </w14:solidFill>
                </w14:textFill>
              </w:rPr>
              <w:t>、“中国政府采</w:t>
            </w:r>
            <w:r>
              <w:rPr>
                <w:rFonts w:hint="eastAsia" w:ascii="仿宋" w:hAnsi="仿宋" w:eastAsia="仿宋" w:cs="仿宋"/>
                <w:color w:val="000000" w:themeColor="text1"/>
                <w:spacing w:val="-13"/>
                <w:sz w:val="24"/>
                <w14:textFill>
                  <w14:solidFill>
                    <w14:schemeClr w14:val="tx1"/>
                  </w14:solidFill>
                </w14:textFill>
              </w:rPr>
              <w:t>购网”网站</w:t>
            </w:r>
            <w:r>
              <w:rPr>
                <w:rFonts w:hint="eastAsia" w:ascii="仿宋" w:hAnsi="仿宋" w:eastAsia="仿宋" w:cs="仿宋"/>
                <w:color w:val="000000" w:themeColor="text1"/>
                <w:spacing w:val="-3"/>
                <w:sz w:val="18"/>
                <w:szCs w:val="18"/>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fldChar w:fldCharType="begin"/>
            </w:r>
            <w:r>
              <w:rPr>
                <w:rFonts w:hint="eastAsia" w:ascii="仿宋" w:hAnsi="仿宋" w:eastAsia="仿宋" w:cs="仿宋"/>
                <w:color w:val="000000" w:themeColor="text1"/>
                <w14:textFill>
                  <w14:solidFill>
                    <w14:schemeClr w14:val="tx1"/>
                  </w14:solidFill>
                </w14:textFill>
              </w:rPr>
              <w:instrText xml:space="preserve"> HYPERLINK "http://www.ccgp.gov.cn/" \h </w:instrText>
            </w:r>
            <w:r>
              <w:rPr>
                <w:rFonts w:hint="eastAsia" w:ascii="仿宋" w:hAnsi="仿宋" w:eastAsia="仿宋" w:cs="仿宋"/>
                <w:color w:val="000000" w:themeColor="text1"/>
                <w14:textFill>
                  <w14:solidFill>
                    <w14:schemeClr w14:val="tx1"/>
                  </w14:solidFill>
                </w14:textFill>
              </w:rPr>
              <w:fldChar w:fldCharType="separate"/>
            </w:r>
            <w:r>
              <w:rPr>
                <w:rFonts w:hint="eastAsia" w:ascii="仿宋" w:hAnsi="仿宋" w:eastAsia="仿宋" w:cs="仿宋"/>
                <w:color w:val="000000" w:themeColor="text1"/>
                <w:spacing w:val="-3"/>
                <w:sz w:val="18"/>
                <w:szCs w:val="18"/>
                <w14:textFill>
                  <w14:solidFill>
                    <w14:schemeClr w14:val="tx1"/>
                  </w14:solidFill>
                </w14:textFill>
              </w:rPr>
              <w:t>www.ccgp.gov.cn</w:t>
            </w:r>
            <w:r>
              <w:rPr>
                <w:rFonts w:hint="eastAsia" w:ascii="仿宋" w:hAnsi="仿宋" w:eastAsia="仿宋" w:cs="仿宋"/>
                <w:color w:val="000000" w:themeColor="text1"/>
                <w:spacing w:val="-3"/>
                <w:sz w:val="18"/>
                <w:szCs w:val="18"/>
                <w14:textFill>
                  <w14:solidFill>
                    <w14:schemeClr w14:val="tx1"/>
                  </w14:solidFill>
                </w14:textFill>
              </w:rPr>
              <w:fldChar w:fldCharType="end"/>
            </w:r>
            <w:r>
              <w:rPr>
                <w:rFonts w:hint="eastAsia" w:ascii="仿宋" w:hAnsi="仿宋" w:eastAsia="仿宋" w:cs="仿宋"/>
                <w:color w:val="000000" w:themeColor="text1"/>
                <w:spacing w:val="-3"/>
                <w:sz w:val="18"/>
                <w:szCs w:val="18"/>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等渠道查询供应商在</w:t>
            </w:r>
            <w:r>
              <w:rPr>
                <w:rFonts w:hint="eastAsia" w:ascii="仿宋" w:hAnsi="仿宋" w:eastAsia="仿宋" w:cs="仿宋"/>
                <w:color w:val="000000" w:themeColor="text1"/>
                <w:sz w:val="24"/>
                <w:lang w:val="en-US" w:eastAsia="zh-CN"/>
                <w14:textFill>
                  <w14:solidFill>
                    <w14:schemeClr w14:val="tx1"/>
                  </w14:solidFill>
                </w14:textFill>
              </w:rPr>
              <w:t>提交响应文件</w:t>
            </w:r>
            <w:r>
              <w:rPr>
                <w:rFonts w:hint="eastAsia" w:ascii="仿宋" w:hAnsi="仿宋" w:eastAsia="仿宋" w:cs="仿宋"/>
                <w:color w:val="000000" w:themeColor="text1"/>
                <w:sz w:val="24"/>
                <w14:textFill>
                  <w14:solidFill>
                    <w14:schemeClr w14:val="tx1"/>
                  </w14:solidFill>
                </w14:textFill>
              </w:rPr>
              <w:t>截止时间前的信用记录，拒绝列入失信被执行人名单、重大税收违法案件当事人名单、政府采购严重违法失信行为记录名单中的供应商参加本项目的采购活动（以联合体形式参加本项目采购活动，联</w:t>
            </w:r>
            <w:r>
              <w:rPr>
                <w:rFonts w:hint="eastAsia" w:ascii="仿宋" w:hAnsi="仿宋" w:eastAsia="仿宋" w:cs="仿宋"/>
                <w:color w:val="000000" w:themeColor="text1"/>
                <w:spacing w:val="-4"/>
                <w:sz w:val="24"/>
                <w14:textFill>
                  <w14:solidFill>
                    <w14:schemeClr w14:val="tx1"/>
                  </w14:solidFill>
                </w14:textFill>
              </w:rPr>
              <w:t>合体成员存在不良信用记录的，视同联合体存在不良信用记录</w:t>
            </w:r>
            <w:r>
              <w:rPr>
                <w:rFonts w:hint="eastAsia" w:ascii="仿宋" w:hAnsi="仿宋" w:eastAsia="仿宋" w:cs="仿宋"/>
                <w:color w:val="000000" w:themeColor="text1"/>
                <w:spacing w:val="-44"/>
                <w:sz w:val="24"/>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eastAsia="zh-CN"/>
                <w14:textFill>
                  <w14:solidFill>
                    <w14:schemeClr w14:val="tx1"/>
                  </w14:solidFill>
                </w14:textFill>
              </w:rPr>
              <w:t>信用信息查询记录和证据由采购代理机构随其他采购文件一同留存，信用信息仅在法律规定范围内使用。</w:t>
            </w:r>
          </w:p>
          <w:p>
            <w:pPr>
              <w:pStyle w:val="57"/>
              <w:keepNext w:val="0"/>
              <w:keepLines w:val="0"/>
              <w:suppressLineNumbers w:val="0"/>
              <w:tabs>
                <w:tab w:val="left" w:pos="831"/>
              </w:tabs>
              <w:spacing w:before="96" w:beforeAutospacing="0" w:after="0" w:afterAutospacing="0" w:line="360" w:lineRule="auto"/>
              <w:ind w:left="0" w:right="-29" w:firstLine="480" w:firstLineChars="20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eastAsia="zh-CN"/>
                <w14:textFill>
                  <w14:solidFill>
                    <w14:schemeClr w14:val="tx1"/>
                  </w14:solidFill>
                </w14:textFill>
              </w:rPr>
              <w:t>2.为采购项目提供整体设计、规范编制或者项目管理、监理、检测等服务的供应商，不得再参加该采购项目的其他采购活动。供应商为采购人、采购代理机构在确定采购需求、编制竞争性磋商文件过程中提供咨询论证，其提供的咨询论证意见成为竞争性磋商文件中规定的供应商资格条件、技术服务商务要求、评审因素和标准、政府采购合同等实质性内容条款的，视同为采购项目提供规范编制。</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eastAsia="zh-CN"/>
                <w14:textFill>
                  <w14:solidFill>
                    <w14:schemeClr w14:val="tx1"/>
                  </w14:solidFill>
                </w14:textFill>
              </w:rPr>
              <w:t>3.单位负责人为同一人或者存在直接控股、管理关系的不同供应商，不得共同参加本项目的</w:t>
            </w:r>
            <w:r>
              <w:rPr>
                <w:rFonts w:hint="eastAsia" w:ascii="仿宋" w:hAnsi="仿宋" w:eastAsia="仿宋" w:cs="仿宋"/>
                <w:color w:val="000000" w:themeColor="text1"/>
                <w:sz w:val="24"/>
                <w:lang w:val="en-US" w:eastAsia="zh-CN"/>
                <w14:textFill>
                  <w14:solidFill>
                    <w14:schemeClr w14:val="tx1"/>
                  </w14:solidFill>
                </w14:textFill>
              </w:rPr>
              <w:t>采购活动</w:t>
            </w:r>
            <w:r>
              <w:rPr>
                <w:rFonts w:hint="eastAsia" w:ascii="仿宋" w:hAnsi="仿宋" w:eastAsia="仿宋" w:cs="仿宋"/>
                <w:color w:val="000000" w:themeColor="text1"/>
                <w:sz w:val="24"/>
                <w:lang w:eastAsia="zh-CN"/>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trPr>
        <w:tc>
          <w:tcPr>
            <w:tcW w:w="879" w:type="dxa"/>
            <w:noWrap w:val="0"/>
            <w:vAlign w:val="center"/>
          </w:tcPr>
          <w:p>
            <w:pPr>
              <w:pStyle w:val="62"/>
              <w:keepNext w:val="0"/>
              <w:keepLines w:val="0"/>
              <w:suppressLineNumbers w:val="0"/>
              <w:spacing w:before="0" w:beforeAutospacing="0" w:after="0" w:afterAutospacing="0" w:line="360" w:lineRule="auto"/>
              <w:ind w:left="0" w:right="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25</w:t>
            </w:r>
          </w:p>
        </w:tc>
        <w:tc>
          <w:tcPr>
            <w:tcW w:w="9214" w:type="dxa"/>
            <w:noWrap w:val="0"/>
            <w:vAlign w:val="center"/>
          </w:tcPr>
          <w:p>
            <w:pPr>
              <w:keepNext w:val="0"/>
              <w:keepLines w:val="0"/>
              <w:suppressLineNumbers w:val="0"/>
              <w:autoSpaceDE w:val="0"/>
              <w:autoSpaceDN w:val="0"/>
              <w:spacing w:before="0" w:beforeAutospacing="0" w:after="0" w:afterAutospacing="0" w:line="360" w:lineRule="auto"/>
              <w:ind w:left="0" w:right="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注意事项</w:t>
            </w:r>
          </w:p>
          <w:p>
            <w:pPr>
              <w:keepNext w:val="0"/>
              <w:keepLines w:val="0"/>
              <w:suppressLineNumbers w:val="0"/>
              <w:autoSpaceDE w:val="0"/>
              <w:autoSpaceDN w:val="0"/>
              <w:spacing w:before="0" w:beforeAutospacing="0" w:after="0" w:afterAutospacing="0" w:line="360" w:lineRule="auto"/>
              <w:ind w:left="0" w:right="0"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1.本项目依托</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公共资源交易平台政府采购系统进行全程电子化采购，请供应商依照</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公共资源交易平台政府采购系统相关流程、规范参与采购活动，如遇网站、系统平台、证书锁等相关问题，请联系</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公共资源交易网进行咨询。</w:t>
            </w:r>
          </w:p>
          <w:p>
            <w:pPr>
              <w:keepNext w:val="0"/>
              <w:keepLines w:val="0"/>
              <w:suppressLineNumbers w:val="0"/>
              <w:autoSpaceDE w:val="0"/>
              <w:autoSpaceDN w:val="0"/>
              <w:spacing w:before="0" w:beforeAutospacing="0" w:after="0" w:afterAutospacing="0" w:line="360" w:lineRule="auto"/>
              <w:ind w:left="0" w:right="0"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公共资源电子交易系统对于本项目会自动生成一个“标包编号”，该编号仅用于系统内部标识。除系统要求或本文件特别说明之处外，请各供应商在制作</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时以本文件所写“标段序”、“包名称”、“标段名称”</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项目名称</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等</w:t>
            </w:r>
            <w:r>
              <w:rPr>
                <w:rFonts w:hint="eastAsia" w:ascii="仿宋" w:hAnsi="仿宋" w:eastAsia="仿宋" w:cs="仿宋"/>
                <w:color w:val="000000" w:themeColor="text1"/>
                <w:sz w:val="24"/>
                <w:szCs w:val="24"/>
                <w14:textFill>
                  <w14:solidFill>
                    <w14:schemeClr w14:val="tx1"/>
                  </w14:solidFill>
                </w14:textFill>
              </w:rPr>
              <w:t>为准。</w:t>
            </w:r>
          </w:p>
          <w:p>
            <w:pPr>
              <w:pStyle w:val="62"/>
              <w:keepNext w:val="0"/>
              <w:keepLines w:val="0"/>
              <w:suppressLineNumbers w:val="0"/>
              <w:spacing w:before="0" w:beforeAutospacing="0" w:after="0" w:afterAutospacing="0" w:line="360" w:lineRule="auto"/>
              <w:ind w:left="0" w:right="0"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3.本项目通过资格、符合性审查并实质响应</w:t>
            </w:r>
            <w:r>
              <w:rPr>
                <w:rFonts w:hint="eastAsia" w:ascii="仿宋" w:hAnsi="仿宋" w:eastAsia="仿宋" w:cs="仿宋"/>
                <w:color w:val="000000" w:themeColor="text1"/>
                <w:sz w:val="24"/>
                <w:szCs w:val="24"/>
                <w:lang w:val="en-US" w:eastAsia="zh-CN"/>
                <w14:textFill>
                  <w14:solidFill>
                    <w14:schemeClr w14:val="tx1"/>
                  </w14:solidFill>
                </w14:textFill>
              </w:rPr>
              <w:t>采购</w:t>
            </w:r>
            <w:r>
              <w:rPr>
                <w:rFonts w:hint="eastAsia" w:ascii="仿宋" w:hAnsi="仿宋" w:eastAsia="仿宋" w:cs="仿宋"/>
                <w:color w:val="000000" w:themeColor="text1"/>
                <w:sz w:val="24"/>
                <w:szCs w:val="24"/>
                <w14:textFill>
                  <w14:solidFill>
                    <w14:schemeClr w14:val="tx1"/>
                  </w14:solidFill>
                </w14:textFill>
              </w:rPr>
              <w:t>文件的</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，即使未被推荐为</w:t>
            </w:r>
            <w:r>
              <w:rPr>
                <w:rFonts w:hint="eastAsia" w:ascii="仿宋" w:hAnsi="仿宋" w:eastAsia="仿宋" w:cs="仿宋"/>
                <w:color w:val="000000" w:themeColor="text1"/>
                <w:sz w:val="24"/>
                <w:szCs w:val="24"/>
                <w:lang w:val="en-US"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候选人，其</w:t>
            </w:r>
            <w:r>
              <w:rPr>
                <w:rFonts w:hint="eastAsia" w:ascii="仿宋" w:hAnsi="仿宋" w:eastAsia="仿宋" w:cs="仿宋"/>
                <w:color w:val="000000" w:themeColor="text1"/>
                <w:sz w:val="24"/>
                <w:szCs w:val="24"/>
                <w:lang w:val="en-US"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依然有效（即其投标不被视为无效投标）</w:t>
            </w:r>
          </w:p>
          <w:p>
            <w:pPr>
              <w:pStyle w:val="62"/>
              <w:keepNext w:val="0"/>
              <w:keepLines w:val="0"/>
              <w:suppressLineNumbers w:val="0"/>
              <w:spacing w:before="0" w:beforeAutospacing="0" w:after="0" w:afterAutospacing="0" w:line="360" w:lineRule="auto"/>
              <w:ind w:left="0" w:right="0" w:firstLine="480"/>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4.成交供应商在领取成交通知书时提交3份纸质的响应文件作为资料留存，纸质的响应文件与系统上传的响应文件必须一致，</w:t>
            </w:r>
          </w:p>
        </w:tc>
      </w:tr>
    </w:tbl>
    <w:p>
      <w:pPr>
        <w:pStyle w:val="10"/>
        <w:spacing w:line="360" w:lineRule="auto"/>
        <w:ind w:right="1200" w:firstLine="800"/>
        <w:jc w:val="right"/>
        <w:rPr>
          <w:rFonts w:hint="eastAsia" w:ascii="仿宋" w:hAnsi="仿宋" w:eastAsia="仿宋" w:cs="仿宋"/>
          <w:sz w:val="24"/>
          <w:szCs w:val="24"/>
        </w:rPr>
        <w:sectPr>
          <w:headerReference r:id="rId9" w:type="first"/>
          <w:footerReference r:id="rId11" w:type="first"/>
          <w:headerReference r:id="rId8" w:type="default"/>
          <w:footerReference r:id="rId10" w:type="default"/>
          <w:pgSz w:w="11906" w:h="16838"/>
          <w:pgMar w:top="1440" w:right="1145" w:bottom="1440" w:left="1134" w:header="567" w:footer="493" w:gutter="0"/>
          <w:pgBorders>
            <w:top w:val="none" w:sz="0" w:space="0"/>
            <w:left w:val="none" w:sz="0" w:space="0"/>
            <w:bottom w:val="none" w:sz="0" w:space="0"/>
            <w:right w:val="none" w:sz="0" w:space="0"/>
          </w:pgBorders>
          <w:cols w:space="720" w:num="1"/>
          <w:titlePg/>
          <w:docGrid w:type="lines" w:linePitch="312" w:charSpace="0"/>
        </w:sectPr>
      </w:pPr>
    </w:p>
    <w:p>
      <w:pPr>
        <w:pStyle w:val="40"/>
        <w:spacing w:line="360" w:lineRule="auto"/>
        <w:rPr>
          <w:rFonts w:hint="eastAsia" w:ascii="仿宋" w:hAnsi="仿宋" w:eastAsia="仿宋" w:cs="仿宋"/>
        </w:rPr>
      </w:pPr>
      <w:bookmarkStart w:id="50" w:name="_Toc44783868"/>
      <w:bookmarkStart w:id="51" w:name="_Toc471327959"/>
      <w:r>
        <w:rPr>
          <w:rFonts w:hint="eastAsia" w:ascii="仿宋" w:hAnsi="仿宋" w:eastAsia="仿宋" w:cs="仿宋"/>
        </w:rPr>
        <w:t>第三章 供应商须知</w:t>
      </w:r>
      <w:bookmarkEnd w:id="50"/>
      <w:bookmarkEnd w:id="51"/>
    </w:p>
    <w:p>
      <w:pPr>
        <w:pStyle w:val="4"/>
        <w:spacing w:line="360" w:lineRule="auto"/>
        <w:rPr>
          <w:rFonts w:hint="eastAsia" w:ascii="仿宋" w:hAnsi="仿宋" w:eastAsia="仿宋" w:cs="仿宋"/>
        </w:rPr>
      </w:pPr>
      <w:bookmarkStart w:id="52" w:name="_Toc44783869"/>
      <w:bookmarkStart w:id="53" w:name="_Toc49019218"/>
      <w:bookmarkStart w:id="54" w:name="_Toc48995833"/>
      <w:bookmarkStart w:id="55" w:name="_Toc47261867"/>
      <w:bookmarkStart w:id="56" w:name="_Toc47418713"/>
      <w:bookmarkStart w:id="57" w:name="_Toc47261052"/>
      <w:bookmarkStart w:id="58" w:name="_Toc471327960"/>
      <w:bookmarkStart w:id="59" w:name="_Toc48791217"/>
      <w:bookmarkStart w:id="60" w:name="_Toc47261672"/>
      <w:bookmarkStart w:id="61" w:name="_Toc47418920"/>
      <w:bookmarkStart w:id="62" w:name="_Toc47418237"/>
      <w:bookmarkStart w:id="63" w:name="_Toc47262051"/>
      <w:bookmarkStart w:id="64" w:name="_Toc344475811"/>
      <w:r>
        <w:rPr>
          <w:rFonts w:hint="eastAsia" w:ascii="仿宋" w:hAnsi="仿宋" w:eastAsia="仿宋" w:cs="仿宋"/>
        </w:rPr>
        <w:t>说明</w:t>
      </w:r>
      <w:bookmarkEnd w:id="52"/>
      <w:bookmarkEnd w:id="53"/>
      <w:bookmarkEnd w:id="54"/>
      <w:bookmarkEnd w:id="55"/>
      <w:bookmarkEnd w:id="56"/>
      <w:bookmarkEnd w:id="57"/>
      <w:bookmarkEnd w:id="58"/>
      <w:bookmarkEnd w:id="59"/>
      <w:bookmarkEnd w:id="60"/>
      <w:bookmarkEnd w:id="61"/>
      <w:bookmarkEnd w:id="62"/>
      <w:bookmarkEnd w:id="63"/>
      <w:bookmarkEnd w:id="64"/>
    </w:p>
    <w:p>
      <w:pPr>
        <w:pStyle w:val="62"/>
        <w:spacing w:line="360" w:lineRule="auto"/>
        <w:ind w:firstLine="580"/>
        <w:rPr>
          <w:rFonts w:hint="eastAsia" w:ascii="仿宋" w:hAnsi="仿宋" w:eastAsia="仿宋" w:cs="仿宋"/>
        </w:rPr>
      </w:pPr>
      <w:r>
        <w:rPr>
          <w:rFonts w:hint="eastAsia" w:ascii="仿宋" w:hAnsi="仿宋" w:eastAsia="仿宋" w:cs="仿宋"/>
        </w:rPr>
        <w:t>采购人、代理机构、采购人及合格的供应商等其他定义</w:t>
      </w:r>
    </w:p>
    <w:p>
      <w:pPr>
        <w:pStyle w:val="62"/>
        <w:spacing w:line="360" w:lineRule="auto"/>
        <w:ind w:firstLine="580"/>
        <w:rPr>
          <w:rFonts w:hint="eastAsia" w:ascii="仿宋" w:hAnsi="仿宋" w:eastAsia="仿宋" w:cs="仿宋"/>
        </w:rPr>
      </w:pPr>
      <w:r>
        <w:rPr>
          <w:rFonts w:hint="eastAsia" w:ascii="仿宋" w:hAnsi="仿宋" w:eastAsia="仿宋" w:cs="仿宋"/>
        </w:rPr>
        <w:t>1、采购单位系指组织本次采购的采购人和采购代理机构。</w:t>
      </w:r>
    </w:p>
    <w:p>
      <w:pPr>
        <w:pStyle w:val="62"/>
        <w:spacing w:line="360" w:lineRule="auto"/>
        <w:ind w:firstLine="580"/>
        <w:rPr>
          <w:rFonts w:hint="eastAsia" w:ascii="仿宋" w:hAnsi="仿宋" w:eastAsia="仿宋" w:cs="仿宋"/>
        </w:rPr>
      </w:pPr>
      <w:r>
        <w:rPr>
          <w:rFonts w:hint="eastAsia" w:ascii="仿宋" w:hAnsi="仿宋" w:eastAsia="仿宋" w:cs="仿宋"/>
        </w:rPr>
        <w:t>2、采购人：是指提出采购项目的国家机关、企业、事业单位或其它组织。本项目采购人详见供应商须知前附表</w:t>
      </w:r>
      <w:r>
        <w:rPr>
          <w:rFonts w:hint="eastAsia" w:ascii="仿宋" w:hAnsi="仿宋" w:eastAsia="仿宋" w:cs="仿宋"/>
          <w:kern w:val="0"/>
        </w:rPr>
        <w:t>。</w:t>
      </w:r>
    </w:p>
    <w:p>
      <w:pPr>
        <w:pStyle w:val="62"/>
        <w:spacing w:line="360" w:lineRule="auto"/>
        <w:ind w:firstLine="580"/>
        <w:rPr>
          <w:rFonts w:hint="eastAsia" w:ascii="仿宋" w:hAnsi="仿宋" w:eastAsia="仿宋" w:cs="仿宋"/>
        </w:rPr>
      </w:pPr>
      <w:r>
        <w:rPr>
          <w:rFonts w:hint="eastAsia" w:ascii="仿宋" w:hAnsi="仿宋" w:eastAsia="仿宋" w:cs="仿宋"/>
        </w:rPr>
        <w:t>3、“供应商”系指向采购人提交响应文件的单位或个人。</w:t>
      </w:r>
    </w:p>
    <w:p>
      <w:pPr>
        <w:pStyle w:val="62"/>
        <w:spacing w:line="360" w:lineRule="auto"/>
        <w:ind w:firstLine="580"/>
        <w:rPr>
          <w:rFonts w:hint="eastAsia" w:ascii="仿宋" w:hAnsi="仿宋" w:eastAsia="仿宋" w:cs="仿宋"/>
        </w:rPr>
      </w:pPr>
      <w:r>
        <w:rPr>
          <w:rFonts w:hint="eastAsia" w:ascii="仿宋" w:hAnsi="仿宋" w:eastAsia="仿宋" w:cs="仿宋"/>
        </w:rPr>
        <w:t>4、采购代理机构：是指依照国家有关部门的管理规定，依法设立并取得采购代理资格证书、从事采购代理业务的中介组织。本磋商文件中代理机构是指受采购人委托组织磋商的</w:t>
      </w:r>
      <w:r>
        <w:rPr>
          <w:rFonts w:hint="eastAsia" w:ascii="仿宋" w:hAnsi="仿宋" w:eastAsia="仿宋" w:cs="仿宋"/>
          <w:u w:val="wave"/>
        </w:rPr>
        <w:t>天鉴国际工程管理有限公司</w:t>
      </w:r>
      <w:r>
        <w:rPr>
          <w:rFonts w:hint="eastAsia" w:ascii="仿宋" w:hAnsi="仿宋" w:eastAsia="仿宋" w:cs="仿宋"/>
        </w:rPr>
        <w:t>。</w:t>
      </w:r>
    </w:p>
    <w:p>
      <w:pPr>
        <w:pStyle w:val="62"/>
        <w:spacing w:line="360" w:lineRule="auto"/>
        <w:ind w:firstLine="580"/>
        <w:rPr>
          <w:rFonts w:hint="eastAsia" w:ascii="仿宋" w:hAnsi="仿宋" w:eastAsia="仿宋" w:cs="仿宋"/>
        </w:rPr>
      </w:pPr>
      <w:r>
        <w:rPr>
          <w:rFonts w:hint="eastAsia" w:ascii="仿宋" w:hAnsi="仿宋" w:eastAsia="仿宋" w:cs="仿宋"/>
        </w:rPr>
        <w:t>5、“书面形式”仅仅指供应商向采购人当面提交的相关原件、信函，但不包括传真及复印件。</w:t>
      </w:r>
    </w:p>
    <w:p>
      <w:pPr>
        <w:pStyle w:val="62"/>
        <w:spacing w:line="360" w:lineRule="auto"/>
        <w:ind w:firstLine="580"/>
        <w:rPr>
          <w:rFonts w:hint="eastAsia" w:ascii="仿宋" w:hAnsi="仿宋" w:eastAsia="仿宋" w:cs="仿宋"/>
        </w:rPr>
      </w:pPr>
      <w:r>
        <w:rPr>
          <w:rFonts w:hint="eastAsia" w:ascii="仿宋" w:hAnsi="仿宋" w:eastAsia="仿宋" w:cs="仿宋"/>
        </w:rPr>
        <w:t>6、“服务”系指磋商文件规定供应商须承担的本项目的运维服务。</w:t>
      </w:r>
    </w:p>
    <w:p>
      <w:pPr>
        <w:pStyle w:val="62"/>
        <w:spacing w:line="360" w:lineRule="auto"/>
        <w:ind w:firstLine="580"/>
        <w:rPr>
          <w:rFonts w:hint="eastAsia" w:ascii="仿宋" w:hAnsi="仿宋" w:eastAsia="仿宋" w:cs="仿宋"/>
        </w:rPr>
      </w:pPr>
      <w:r>
        <w:rPr>
          <w:rFonts w:hint="eastAsia" w:ascii="仿宋" w:hAnsi="仿宋" w:eastAsia="仿宋" w:cs="仿宋"/>
        </w:rPr>
        <w:t>7、合格的供应商</w:t>
      </w:r>
    </w:p>
    <w:p>
      <w:pPr>
        <w:pStyle w:val="62"/>
        <w:spacing w:line="360" w:lineRule="auto"/>
        <w:ind w:firstLine="580"/>
        <w:rPr>
          <w:rFonts w:hint="eastAsia" w:ascii="仿宋" w:hAnsi="仿宋" w:eastAsia="仿宋" w:cs="仿宋"/>
        </w:rPr>
      </w:pPr>
      <w:r>
        <w:rPr>
          <w:rFonts w:hint="eastAsia" w:ascii="仿宋" w:hAnsi="仿宋" w:eastAsia="仿宋" w:cs="仿宋"/>
        </w:rPr>
        <w:t>（1）应具备《中华人民共和国政府采购法》第二十二条规定的条件；</w:t>
      </w:r>
    </w:p>
    <w:p>
      <w:pPr>
        <w:pStyle w:val="62"/>
        <w:spacing w:line="360" w:lineRule="auto"/>
        <w:ind w:firstLine="580"/>
        <w:rPr>
          <w:rFonts w:hint="eastAsia" w:ascii="仿宋" w:hAnsi="仿宋" w:eastAsia="仿宋" w:cs="仿宋"/>
        </w:rPr>
      </w:pPr>
      <w:r>
        <w:rPr>
          <w:rFonts w:hint="eastAsia" w:ascii="仿宋" w:hAnsi="仿宋" w:eastAsia="仿宋" w:cs="仿宋"/>
        </w:rPr>
        <w:t>（2）不接受联合体响应。</w:t>
      </w:r>
    </w:p>
    <w:p>
      <w:pPr>
        <w:pStyle w:val="62"/>
        <w:spacing w:line="360" w:lineRule="auto"/>
        <w:ind w:firstLine="582"/>
        <w:rPr>
          <w:rFonts w:hint="eastAsia" w:ascii="仿宋" w:hAnsi="仿宋" w:eastAsia="仿宋" w:cs="仿宋"/>
          <w:szCs w:val="24"/>
        </w:rPr>
      </w:pPr>
      <w:r>
        <w:rPr>
          <w:rFonts w:hint="eastAsia" w:ascii="仿宋" w:hAnsi="仿宋" w:eastAsia="仿宋" w:cs="仿宋"/>
          <w:b/>
          <w:szCs w:val="24"/>
        </w:rPr>
        <w:t>8、磋商费用</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供应商应承担所有与准备和参加磋商有关的费用。不论磋商的结果如何，采购人均无义务和责任承担这些费用。</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8.2成交服务费的收取标准：成交金额1.5%</w:t>
      </w:r>
      <w:r>
        <w:rPr>
          <w:rFonts w:hint="eastAsia" w:ascii="仿宋" w:hAnsi="仿宋" w:eastAsia="仿宋" w:cs="仿宋"/>
          <w:szCs w:val="24"/>
          <w:lang w:val="en-US" w:eastAsia="zh-CN"/>
        </w:rPr>
        <w:t>的基础上下浮10%</w:t>
      </w:r>
      <w:r>
        <w:rPr>
          <w:rFonts w:hint="eastAsia" w:ascii="仿宋" w:hAnsi="仿宋" w:eastAsia="仿宋" w:cs="仿宋"/>
          <w:szCs w:val="24"/>
        </w:rPr>
        <w:t>；</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8.3成交服务费的收取形式：现金或转账方式一次性缴纳；</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8.4成交服务费的收取时间：领取成交通知书之前；</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8.5成交供应商如不按期足额交纳成交服务费，采购代理机构有权从供应商缴纳至采购代理机构的响应保证金/履约保证金中相应扣除（含本金及滞纳金等由此产生的一切费用），扣除范围包括但不限于因本次项目所缴纳的响应保证金/履约保证金。</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8.6成交服务的收取账号：</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开户名称：天鉴国际工程管理有限公司西藏分公司</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 xml:space="preserve">开 户 行：中国建设银行股份有限公司拉萨北京中路支行            </w:t>
      </w:r>
    </w:p>
    <w:p>
      <w:pPr>
        <w:pStyle w:val="62"/>
        <w:spacing w:line="360" w:lineRule="auto"/>
        <w:ind w:firstLine="580"/>
        <w:rPr>
          <w:rFonts w:hint="eastAsia" w:ascii="仿宋" w:hAnsi="仿宋" w:eastAsia="仿宋" w:cs="仿宋"/>
          <w:szCs w:val="24"/>
        </w:rPr>
      </w:pPr>
      <w:r>
        <w:rPr>
          <w:rFonts w:hint="eastAsia" w:ascii="仿宋" w:hAnsi="仿宋" w:eastAsia="仿宋" w:cs="仿宋"/>
          <w:szCs w:val="24"/>
        </w:rPr>
        <w:t>账    号：54050101363600000931</w:t>
      </w:r>
    </w:p>
    <w:p>
      <w:pPr>
        <w:pStyle w:val="62"/>
        <w:spacing w:line="360" w:lineRule="auto"/>
        <w:ind w:firstLine="580"/>
        <w:rPr>
          <w:rFonts w:hint="eastAsia" w:ascii="仿宋" w:hAnsi="仿宋" w:eastAsia="仿宋" w:cs="仿宋"/>
        </w:rPr>
      </w:pPr>
      <w:r>
        <w:rPr>
          <w:rFonts w:hint="eastAsia" w:ascii="仿宋" w:hAnsi="仿宋" w:eastAsia="仿宋" w:cs="仿宋"/>
        </w:rPr>
        <w:t>采购方式</w:t>
      </w:r>
    </w:p>
    <w:p>
      <w:pPr>
        <w:pStyle w:val="62"/>
        <w:spacing w:line="360" w:lineRule="auto"/>
        <w:ind w:firstLine="580"/>
        <w:rPr>
          <w:rFonts w:hint="eastAsia" w:ascii="仿宋" w:hAnsi="仿宋" w:eastAsia="仿宋" w:cs="仿宋"/>
        </w:rPr>
      </w:pPr>
      <w:r>
        <w:rPr>
          <w:rFonts w:hint="eastAsia" w:ascii="仿宋" w:hAnsi="仿宋" w:eastAsia="仿宋" w:cs="仿宋"/>
        </w:rPr>
        <w:t>本次采购采用竞争性磋商方式进行。</w:t>
      </w:r>
    </w:p>
    <w:p>
      <w:pPr>
        <w:pStyle w:val="62"/>
        <w:spacing w:line="360" w:lineRule="auto"/>
        <w:ind w:firstLine="580"/>
        <w:rPr>
          <w:rFonts w:hint="eastAsia" w:ascii="仿宋" w:hAnsi="仿宋" w:eastAsia="仿宋" w:cs="仿宋"/>
        </w:rPr>
      </w:pPr>
      <w:r>
        <w:rPr>
          <w:rFonts w:hint="eastAsia" w:ascii="仿宋" w:hAnsi="仿宋" w:eastAsia="仿宋" w:cs="仿宋"/>
        </w:rPr>
        <w:t>特别说明</w:t>
      </w:r>
    </w:p>
    <w:p>
      <w:pPr>
        <w:pStyle w:val="62"/>
        <w:spacing w:line="360" w:lineRule="auto"/>
        <w:ind w:firstLine="580"/>
        <w:rPr>
          <w:rFonts w:hint="eastAsia" w:ascii="仿宋" w:hAnsi="仿宋" w:eastAsia="仿宋" w:cs="仿宋"/>
        </w:rPr>
      </w:pPr>
      <w:r>
        <w:rPr>
          <w:rFonts w:hint="eastAsia" w:ascii="仿宋" w:hAnsi="仿宋" w:eastAsia="仿宋" w:cs="仿宋"/>
        </w:rPr>
        <w:t>1、供应商应仔细阅读竞争性磋商文件的所有内容，按照竞争性磋商文件的要求提交响应文件，并对所提供的全部资料的真实性承担法律责任。</w:t>
      </w:r>
    </w:p>
    <w:p>
      <w:pPr>
        <w:pStyle w:val="62"/>
        <w:spacing w:line="360" w:lineRule="auto"/>
        <w:ind w:firstLine="580"/>
        <w:rPr>
          <w:rFonts w:hint="eastAsia" w:ascii="仿宋" w:hAnsi="仿宋" w:eastAsia="仿宋" w:cs="仿宋"/>
        </w:rPr>
      </w:pPr>
      <w:r>
        <w:rPr>
          <w:rFonts w:hint="eastAsia" w:ascii="仿宋" w:hAnsi="仿宋" w:eastAsia="仿宋" w:cs="仿宋"/>
        </w:rPr>
        <w:t>2、供应商在采购活动中提供任何虚假材料,其响应文件无效，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成交后发现的,成交供应商须依照《中华人民共和国消费者权益保护法》第49条之规定双倍赔偿采购人，且民事赔偿并不免除违法供应商的行政与刑事责任。</w:t>
      </w:r>
    </w:p>
    <w:p>
      <w:pPr>
        <w:pStyle w:val="62"/>
        <w:spacing w:line="360" w:lineRule="auto"/>
        <w:ind w:firstLine="580"/>
        <w:rPr>
          <w:rFonts w:hint="eastAsia" w:ascii="仿宋" w:hAnsi="仿宋" w:eastAsia="仿宋" w:cs="仿宋"/>
        </w:rPr>
      </w:pPr>
      <w:r>
        <w:rPr>
          <w:rFonts w:hint="eastAsia" w:ascii="仿宋" w:hAnsi="仿宋" w:eastAsia="仿宋" w:cs="仿宋"/>
        </w:rPr>
        <w:t>3、供应商的以下行为属于提供虚假材料：</w:t>
      </w:r>
    </w:p>
    <w:p>
      <w:pPr>
        <w:pStyle w:val="62"/>
        <w:spacing w:line="360" w:lineRule="auto"/>
        <w:ind w:firstLine="580"/>
        <w:rPr>
          <w:rFonts w:hint="eastAsia" w:ascii="仿宋" w:hAnsi="仿宋" w:eastAsia="仿宋" w:cs="仿宋"/>
        </w:rPr>
      </w:pPr>
      <w:r>
        <w:rPr>
          <w:rFonts w:hint="eastAsia" w:ascii="仿宋" w:hAnsi="仿宋" w:eastAsia="仿宋" w:cs="仿宋"/>
        </w:rPr>
        <w:t>（1）供应商提供的资格、信誉、荣誉、业绩与企业认证不是本法人所拥有；</w:t>
      </w:r>
    </w:p>
    <w:p>
      <w:pPr>
        <w:pStyle w:val="62"/>
        <w:spacing w:line="360" w:lineRule="auto"/>
        <w:ind w:firstLine="580"/>
        <w:rPr>
          <w:rFonts w:hint="eastAsia" w:ascii="仿宋" w:hAnsi="仿宋" w:eastAsia="仿宋" w:cs="仿宋"/>
        </w:rPr>
      </w:pPr>
      <w:r>
        <w:rPr>
          <w:rFonts w:hint="eastAsia" w:ascii="仿宋" w:hAnsi="仿宋" w:eastAsia="仿宋" w:cs="仿宋"/>
        </w:rPr>
        <w:t>（2）提供虚假的授权文书的；</w:t>
      </w:r>
    </w:p>
    <w:p>
      <w:pPr>
        <w:pStyle w:val="62"/>
        <w:spacing w:line="360" w:lineRule="auto"/>
        <w:ind w:firstLine="580"/>
        <w:rPr>
          <w:rFonts w:hint="eastAsia" w:ascii="仿宋" w:hAnsi="仿宋" w:eastAsia="仿宋" w:cs="仿宋"/>
        </w:rPr>
      </w:pPr>
      <w:r>
        <w:rPr>
          <w:rFonts w:hint="eastAsia" w:ascii="仿宋" w:hAnsi="仿宋" w:eastAsia="仿宋" w:cs="仿宋"/>
        </w:rPr>
        <w:t>4、质疑和投诉</w:t>
      </w:r>
    </w:p>
    <w:p>
      <w:pPr>
        <w:pStyle w:val="62"/>
        <w:spacing w:line="360" w:lineRule="auto"/>
        <w:ind w:firstLine="580"/>
        <w:rPr>
          <w:rFonts w:hint="eastAsia" w:ascii="仿宋" w:hAnsi="仿宋" w:eastAsia="仿宋" w:cs="仿宋"/>
        </w:rPr>
      </w:pPr>
      <w:r>
        <w:rPr>
          <w:rFonts w:hint="eastAsia" w:ascii="仿宋" w:hAnsi="仿宋" w:eastAsia="仿宋" w:cs="仿宋"/>
        </w:rPr>
        <w:t>（1）只有购买了本次竞争性磋商文件且参与了本次采购活动的供应商，才能提出质疑。供应商应在法定质疑期内一次性提出针对同一采购程序环节的质疑。不能一次性提出质疑者，本次采购不接受重复质疑或对原质疑提出补充质疑。</w:t>
      </w:r>
    </w:p>
    <w:p>
      <w:pPr>
        <w:pStyle w:val="62"/>
        <w:spacing w:line="360" w:lineRule="auto"/>
        <w:ind w:firstLine="580"/>
        <w:rPr>
          <w:rFonts w:hint="eastAsia" w:ascii="仿宋" w:hAnsi="仿宋" w:eastAsia="仿宋" w:cs="仿宋"/>
        </w:rPr>
      </w:pPr>
      <w:r>
        <w:rPr>
          <w:rFonts w:hint="eastAsia" w:ascii="仿宋" w:hAnsi="仿宋" w:eastAsia="仿宋" w:cs="仿宋"/>
        </w:rPr>
        <w:t>（2）供应商认为竞争性磋商文件、采购过程或成交结果使自己的合法权益受到损害的，应当在知道或者应知其权益受到损害之日起七个工作日内，以书面形式向采购人、采购代理机构提出质疑。供应商对采购代理机构或采购单位的质疑答复不满意或者采购代理机构或采购单位未在规定时间内作出答复的，可以在答复期满后十五个工作日内向同级采购监管部门投诉。</w:t>
      </w:r>
    </w:p>
    <w:p>
      <w:pPr>
        <w:pStyle w:val="62"/>
        <w:spacing w:line="360" w:lineRule="auto"/>
        <w:ind w:firstLine="580"/>
        <w:rPr>
          <w:rFonts w:hint="eastAsia" w:ascii="仿宋" w:hAnsi="仿宋" w:eastAsia="仿宋" w:cs="仿宋"/>
        </w:rPr>
      </w:pPr>
      <w:r>
        <w:rPr>
          <w:rFonts w:hint="eastAsia" w:ascii="仿宋" w:hAnsi="仿宋" w:eastAsia="仿宋" w:cs="仿宋"/>
        </w:rPr>
        <w:t>（3）质疑、投诉应当采用书面形式，质疑书、投诉书均应明确阐述竞争性磋商文件、采购过程或成交结果中使自己合法权益受到损害的实质性内容，提供相关事实、依据和证据及其来源或线索，便于有关单位调查、答复和处理。</w:t>
      </w:r>
    </w:p>
    <w:p>
      <w:pPr>
        <w:pStyle w:val="62"/>
        <w:spacing w:line="360" w:lineRule="auto"/>
        <w:ind w:firstLine="580"/>
        <w:rPr>
          <w:rFonts w:hint="eastAsia" w:ascii="仿宋" w:hAnsi="仿宋" w:eastAsia="仿宋" w:cs="仿宋"/>
        </w:rPr>
      </w:pPr>
      <w:r>
        <w:rPr>
          <w:rFonts w:hint="eastAsia" w:ascii="仿宋" w:hAnsi="仿宋" w:eastAsia="仿宋" w:cs="仿宋"/>
        </w:rPr>
        <w:t>（4）对本次采购提出质疑者必须同时提交相关确凿的证据材料和注明事实的确切来源，并对质疑内容的真实性承担责任。质疑者有如下行为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62"/>
        <w:spacing w:line="360" w:lineRule="auto"/>
        <w:ind w:firstLine="580"/>
        <w:rPr>
          <w:rFonts w:hint="eastAsia" w:ascii="仿宋" w:hAnsi="仿宋" w:eastAsia="仿宋" w:cs="仿宋"/>
        </w:rPr>
      </w:pPr>
      <w:r>
        <w:rPr>
          <w:rFonts w:hint="eastAsia" w:ascii="仿宋" w:hAnsi="仿宋" w:eastAsia="仿宋" w:cs="仿宋"/>
        </w:rPr>
        <w:t>（4.1）捏造事实、滥用维权扰乱采购秩序的；</w:t>
      </w:r>
    </w:p>
    <w:p>
      <w:pPr>
        <w:pStyle w:val="62"/>
        <w:spacing w:line="360" w:lineRule="auto"/>
        <w:ind w:firstLine="580"/>
        <w:rPr>
          <w:rFonts w:hint="eastAsia" w:ascii="仿宋" w:hAnsi="仿宋" w:eastAsia="仿宋" w:cs="仿宋"/>
        </w:rPr>
      </w:pPr>
      <w:r>
        <w:rPr>
          <w:rFonts w:hint="eastAsia" w:ascii="仿宋" w:hAnsi="仿宋" w:eastAsia="仿宋" w:cs="仿宋"/>
        </w:rPr>
        <w:t>（4.2）恶意质疑者或举证不全查无实据被驳回的；</w:t>
      </w:r>
    </w:p>
    <w:p>
      <w:pPr>
        <w:pStyle w:val="62"/>
        <w:spacing w:line="360" w:lineRule="auto"/>
        <w:ind w:firstLine="580"/>
        <w:rPr>
          <w:rFonts w:hint="eastAsia" w:ascii="仿宋" w:hAnsi="仿宋" w:eastAsia="仿宋" w:cs="仿宋"/>
        </w:rPr>
      </w:pPr>
      <w:r>
        <w:rPr>
          <w:rFonts w:hint="eastAsia" w:ascii="仿宋" w:hAnsi="仿宋" w:eastAsia="仿宋" w:cs="仿宋"/>
        </w:rPr>
        <w:t>（4.3）以未经采购代理机构同意私自拍摄的采购资料或评委不得泄露的评审内容为证据的；</w:t>
      </w:r>
    </w:p>
    <w:p>
      <w:pPr>
        <w:pStyle w:val="62"/>
        <w:spacing w:line="360" w:lineRule="auto"/>
        <w:ind w:firstLine="580"/>
        <w:rPr>
          <w:rFonts w:hint="eastAsia" w:ascii="仿宋" w:hAnsi="仿宋" w:eastAsia="仿宋" w:cs="仿宋"/>
        </w:rPr>
      </w:pPr>
      <w:r>
        <w:rPr>
          <w:rFonts w:hint="eastAsia" w:ascii="仿宋" w:hAnsi="仿宋" w:eastAsia="仿宋" w:cs="仿宋"/>
        </w:rPr>
        <w:t>（4.4）不按法定程序进行质疑者；</w:t>
      </w:r>
    </w:p>
    <w:p>
      <w:pPr>
        <w:pStyle w:val="62"/>
        <w:spacing w:line="360" w:lineRule="auto"/>
        <w:ind w:firstLine="580"/>
        <w:rPr>
          <w:rFonts w:hint="eastAsia" w:ascii="仿宋" w:hAnsi="仿宋" w:eastAsia="仿宋" w:cs="仿宋"/>
        </w:rPr>
      </w:pPr>
      <w:r>
        <w:rPr>
          <w:rFonts w:hint="eastAsia" w:ascii="仿宋" w:hAnsi="仿宋" w:eastAsia="仿宋" w:cs="仿宋"/>
        </w:rPr>
        <w:t>（5）在磋商会议活动现场，不听从工作人员安排（如不配合签字确认），扰乱破坏现场秩序，导致磋商会议无法正常进行，不予退还响应保证金；</w:t>
      </w:r>
    </w:p>
    <w:p>
      <w:pPr>
        <w:pStyle w:val="4"/>
        <w:spacing w:line="360" w:lineRule="auto"/>
        <w:rPr>
          <w:rFonts w:hint="eastAsia" w:ascii="仿宋" w:hAnsi="仿宋" w:eastAsia="仿宋" w:cs="仿宋"/>
        </w:rPr>
      </w:pPr>
      <w:bookmarkStart w:id="65" w:name="_Toc48995834"/>
      <w:bookmarkStart w:id="66" w:name="_Toc47418238"/>
      <w:bookmarkStart w:id="67" w:name="_Toc471327961"/>
      <w:bookmarkStart w:id="68" w:name="_Toc47418921"/>
      <w:bookmarkStart w:id="69" w:name="_Toc44783870"/>
      <w:bookmarkStart w:id="70" w:name="_Toc47261053"/>
      <w:bookmarkStart w:id="71" w:name="_Toc47262052"/>
      <w:bookmarkStart w:id="72" w:name="_Toc47261868"/>
      <w:bookmarkStart w:id="73" w:name="_Toc344475812"/>
      <w:bookmarkStart w:id="74" w:name="_Toc47418714"/>
      <w:bookmarkStart w:id="75" w:name="_Toc48791218"/>
      <w:bookmarkStart w:id="76" w:name="_Toc49019219"/>
      <w:bookmarkStart w:id="77" w:name="_Toc47261673"/>
      <w:r>
        <w:rPr>
          <w:rFonts w:hint="eastAsia" w:ascii="仿宋" w:hAnsi="仿宋" w:eastAsia="仿宋" w:cs="仿宋"/>
        </w:rPr>
        <w:t>响应文件</w:t>
      </w:r>
      <w:bookmarkEnd w:id="65"/>
      <w:bookmarkEnd w:id="66"/>
      <w:bookmarkEnd w:id="67"/>
      <w:bookmarkEnd w:id="68"/>
      <w:bookmarkEnd w:id="69"/>
      <w:bookmarkEnd w:id="70"/>
      <w:bookmarkEnd w:id="71"/>
      <w:bookmarkEnd w:id="72"/>
      <w:bookmarkEnd w:id="73"/>
      <w:bookmarkEnd w:id="74"/>
      <w:bookmarkEnd w:id="75"/>
      <w:bookmarkEnd w:id="76"/>
      <w:bookmarkEnd w:id="77"/>
    </w:p>
    <w:p>
      <w:pPr>
        <w:pStyle w:val="2"/>
        <w:spacing w:after="143" w:line="360" w:lineRule="auto"/>
        <w:rPr>
          <w:rFonts w:hint="eastAsia" w:ascii="仿宋" w:hAnsi="仿宋" w:eastAsia="仿宋" w:cs="仿宋"/>
        </w:rPr>
      </w:pPr>
      <w:r>
        <w:rPr>
          <w:rFonts w:hint="eastAsia" w:ascii="仿宋" w:hAnsi="仿宋" w:eastAsia="仿宋" w:cs="仿宋"/>
        </w:rPr>
        <w:t>磋商文件构成</w:t>
      </w:r>
    </w:p>
    <w:p>
      <w:pPr>
        <w:pStyle w:val="62"/>
        <w:spacing w:line="360" w:lineRule="auto"/>
        <w:ind w:firstLine="580"/>
        <w:rPr>
          <w:rFonts w:hint="eastAsia" w:ascii="仿宋" w:hAnsi="仿宋" w:eastAsia="仿宋" w:cs="仿宋"/>
        </w:rPr>
      </w:pPr>
      <w:r>
        <w:rPr>
          <w:rFonts w:hint="eastAsia" w:ascii="仿宋" w:hAnsi="仿宋" w:eastAsia="仿宋" w:cs="仿宋"/>
        </w:rPr>
        <w:t>磋商文件包括下列内容：</w:t>
      </w:r>
    </w:p>
    <w:p>
      <w:pPr>
        <w:pStyle w:val="62"/>
        <w:spacing w:line="360" w:lineRule="auto"/>
        <w:ind w:firstLine="580"/>
        <w:rPr>
          <w:rFonts w:hint="eastAsia" w:ascii="仿宋" w:hAnsi="仿宋" w:eastAsia="仿宋" w:cs="仿宋"/>
        </w:rPr>
      </w:pPr>
      <w:r>
        <w:rPr>
          <w:rFonts w:hint="eastAsia" w:ascii="仿宋" w:hAnsi="仿宋" w:eastAsia="仿宋" w:cs="仿宋"/>
        </w:rPr>
        <w:t>第一章 竞争性磋商公告</w:t>
      </w:r>
    </w:p>
    <w:p>
      <w:pPr>
        <w:pStyle w:val="62"/>
        <w:spacing w:line="360" w:lineRule="auto"/>
        <w:ind w:firstLine="580"/>
        <w:rPr>
          <w:rFonts w:hint="eastAsia" w:ascii="仿宋" w:hAnsi="仿宋" w:eastAsia="仿宋" w:cs="仿宋"/>
        </w:rPr>
      </w:pPr>
      <w:r>
        <w:rPr>
          <w:rFonts w:hint="eastAsia" w:ascii="仿宋" w:hAnsi="仿宋" w:eastAsia="仿宋" w:cs="仿宋"/>
        </w:rPr>
        <w:t>第二章 供应商须知前附表</w:t>
      </w:r>
    </w:p>
    <w:p>
      <w:pPr>
        <w:pStyle w:val="62"/>
        <w:spacing w:line="360" w:lineRule="auto"/>
        <w:ind w:firstLine="580"/>
        <w:rPr>
          <w:rFonts w:hint="eastAsia" w:ascii="仿宋" w:hAnsi="仿宋" w:eastAsia="仿宋" w:cs="仿宋"/>
        </w:rPr>
      </w:pPr>
      <w:r>
        <w:rPr>
          <w:rFonts w:hint="eastAsia" w:ascii="仿宋" w:hAnsi="仿宋" w:eastAsia="仿宋" w:cs="仿宋"/>
        </w:rPr>
        <w:t>第三章 供应商须知</w:t>
      </w:r>
    </w:p>
    <w:p>
      <w:pPr>
        <w:pStyle w:val="62"/>
        <w:spacing w:line="360" w:lineRule="auto"/>
        <w:ind w:firstLine="580"/>
        <w:rPr>
          <w:rFonts w:hint="eastAsia" w:ascii="仿宋" w:hAnsi="仿宋" w:eastAsia="仿宋" w:cs="仿宋"/>
        </w:rPr>
      </w:pPr>
      <w:r>
        <w:rPr>
          <w:rFonts w:hint="eastAsia" w:ascii="仿宋" w:hAnsi="仿宋" w:eastAsia="仿宋" w:cs="仿宋"/>
        </w:rPr>
        <w:t>第四章 采购内容</w:t>
      </w:r>
    </w:p>
    <w:p>
      <w:pPr>
        <w:pStyle w:val="62"/>
        <w:spacing w:line="360" w:lineRule="auto"/>
        <w:ind w:firstLine="580"/>
        <w:rPr>
          <w:rFonts w:hint="eastAsia" w:ascii="仿宋" w:hAnsi="仿宋" w:eastAsia="仿宋" w:cs="仿宋"/>
        </w:rPr>
      </w:pPr>
      <w:r>
        <w:rPr>
          <w:rFonts w:hint="eastAsia" w:ascii="仿宋" w:hAnsi="仿宋" w:eastAsia="仿宋" w:cs="仿宋"/>
        </w:rPr>
        <w:t>第五章 响应文件格式</w:t>
      </w:r>
    </w:p>
    <w:p>
      <w:pPr>
        <w:pStyle w:val="62"/>
        <w:spacing w:line="360" w:lineRule="auto"/>
        <w:ind w:firstLine="580"/>
        <w:rPr>
          <w:rFonts w:hint="eastAsia" w:ascii="仿宋" w:hAnsi="仿宋" w:eastAsia="仿宋" w:cs="仿宋"/>
        </w:rPr>
      </w:pPr>
      <w:r>
        <w:rPr>
          <w:rFonts w:hint="eastAsia" w:ascii="仿宋" w:hAnsi="仿宋" w:eastAsia="仿宋" w:cs="仿宋"/>
        </w:rPr>
        <w:t>第六章 合同模板</w:t>
      </w:r>
    </w:p>
    <w:p>
      <w:pPr>
        <w:pStyle w:val="2"/>
        <w:spacing w:after="143" w:line="360" w:lineRule="auto"/>
        <w:rPr>
          <w:rFonts w:hint="eastAsia" w:ascii="仿宋" w:hAnsi="仿宋" w:eastAsia="仿宋" w:cs="仿宋"/>
        </w:rPr>
      </w:pPr>
      <w:r>
        <w:rPr>
          <w:rFonts w:hint="eastAsia" w:ascii="仿宋" w:hAnsi="仿宋" w:eastAsia="仿宋" w:cs="仿宋"/>
        </w:rPr>
        <w:t>磋商文件的澄清</w:t>
      </w:r>
    </w:p>
    <w:p>
      <w:pPr>
        <w:pStyle w:val="62"/>
        <w:spacing w:line="360" w:lineRule="auto"/>
        <w:ind w:firstLine="580"/>
        <w:rPr>
          <w:rFonts w:hint="eastAsia" w:ascii="仿宋" w:hAnsi="仿宋" w:eastAsia="仿宋" w:cs="仿宋"/>
        </w:rPr>
      </w:pPr>
      <w:r>
        <w:rPr>
          <w:rFonts w:hint="eastAsia" w:ascii="仿宋" w:hAnsi="仿宋" w:eastAsia="仿宋" w:cs="仿宋"/>
        </w:rPr>
        <w:t>供应商对磋商文件如有疑点要求澄清，应在磋商时间三天以前以书面形式通知采购代理机构，采购代理机构对供应商的澄清要求均以书面形式予以答复，同时将书面答复发给每个购买磋商文件的供应商（答复中不包括问题的来源）。</w:t>
      </w:r>
    </w:p>
    <w:p>
      <w:pPr>
        <w:pStyle w:val="2"/>
        <w:spacing w:after="143" w:line="360" w:lineRule="auto"/>
        <w:rPr>
          <w:rFonts w:hint="eastAsia" w:ascii="仿宋" w:hAnsi="仿宋" w:eastAsia="仿宋" w:cs="仿宋"/>
        </w:rPr>
      </w:pPr>
      <w:r>
        <w:rPr>
          <w:rFonts w:hint="eastAsia" w:ascii="仿宋" w:hAnsi="仿宋" w:eastAsia="仿宋" w:cs="仿宋"/>
        </w:rPr>
        <w:t>磋商文件的修改</w:t>
      </w:r>
    </w:p>
    <w:p>
      <w:pPr>
        <w:pStyle w:val="62"/>
        <w:spacing w:line="360" w:lineRule="auto"/>
        <w:ind w:firstLine="580"/>
        <w:rPr>
          <w:rFonts w:hint="eastAsia" w:ascii="仿宋" w:hAnsi="仿宋" w:eastAsia="仿宋" w:cs="仿宋"/>
        </w:rPr>
      </w:pPr>
      <w:r>
        <w:rPr>
          <w:rFonts w:hint="eastAsia" w:ascii="仿宋" w:hAnsi="仿宋" w:eastAsia="仿宋" w:cs="仿宋"/>
        </w:rPr>
        <w:t>1．在磋商时间前的任何时候，无论出于何种原因，采购代理机构可主动地或在解答供应商提出的澄清问题时对磋商文件进行修改，修改的内容为磋商文件的组成部分。</w:t>
      </w:r>
    </w:p>
    <w:p>
      <w:pPr>
        <w:pStyle w:val="62"/>
        <w:spacing w:line="360" w:lineRule="auto"/>
        <w:ind w:firstLine="580"/>
        <w:rPr>
          <w:rFonts w:hint="eastAsia" w:ascii="仿宋" w:hAnsi="仿宋" w:eastAsia="仿宋" w:cs="仿宋"/>
        </w:rPr>
      </w:pPr>
      <w:r>
        <w:rPr>
          <w:rFonts w:hint="eastAsia" w:ascii="仿宋" w:hAnsi="仿宋" w:eastAsia="仿宋" w:cs="仿宋"/>
        </w:rPr>
        <w:t>2．磋商文件的修改将以书面形式通知所有</w:t>
      </w:r>
      <w:r>
        <w:rPr>
          <w:rFonts w:hint="eastAsia" w:ascii="仿宋" w:hAnsi="仿宋" w:eastAsia="仿宋" w:cs="仿宋"/>
          <w:lang w:val="en-US" w:eastAsia="zh-CN"/>
        </w:rPr>
        <w:t>参与本项目的</w:t>
      </w:r>
      <w:r>
        <w:rPr>
          <w:rFonts w:hint="eastAsia" w:ascii="仿宋" w:hAnsi="仿宋" w:eastAsia="仿宋" w:cs="仿宋"/>
        </w:rPr>
        <w:t>供应商，并对其具有约束力。供应商在收到上述通知后，应立即向采购代理机构回函确认。</w:t>
      </w:r>
    </w:p>
    <w:p>
      <w:pPr>
        <w:pStyle w:val="62"/>
        <w:spacing w:line="360" w:lineRule="auto"/>
        <w:ind w:firstLine="580"/>
        <w:rPr>
          <w:rFonts w:hint="eastAsia" w:ascii="仿宋" w:hAnsi="仿宋" w:eastAsia="仿宋" w:cs="仿宋"/>
        </w:rPr>
      </w:pPr>
      <w:r>
        <w:rPr>
          <w:rFonts w:hint="eastAsia" w:ascii="仿宋" w:hAnsi="仿宋" w:eastAsia="仿宋" w:cs="仿宋"/>
        </w:rPr>
        <w:t>3．为使供应商准备磋商时有充分时间对磋商文件的修改部分进行研究，采购代理机构可适当延长磋商时间。并以书面形式通知所有</w:t>
      </w:r>
      <w:r>
        <w:rPr>
          <w:rFonts w:hint="eastAsia" w:ascii="仿宋" w:hAnsi="仿宋" w:eastAsia="仿宋" w:cs="仿宋"/>
          <w:lang w:val="en-US" w:eastAsia="zh-CN"/>
        </w:rPr>
        <w:t>参与本项目</w:t>
      </w:r>
      <w:r>
        <w:rPr>
          <w:rFonts w:hint="eastAsia" w:ascii="仿宋" w:hAnsi="仿宋" w:eastAsia="仿宋" w:cs="仿宋"/>
        </w:rPr>
        <w:t>的供应商。</w:t>
      </w:r>
    </w:p>
    <w:p>
      <w:pPr>
        <w:pStyle w:val="4"/>
        <w:spacing w:line="360" w:lineRule="auto"/>
        <w:rPr>
          <w:rFonts w:hint="eastAsia" w:ascii="仿宋" w:hAnsi="仿宋" w:eastAsia="仿宋" w:cs="仿宋"/>
        </w:rPr>
      </w:pPr>
      <w:bookmarkStart w:id="78" w:name="_Toc47418715"/>
      <w:bookmarkStart w:id="79" w:name="_Toc44783871"/>
      <w:bookmarkStart w:id="80" w:name="_Toc48995835"/>
      <w:bookmarkStart w:id="81" w:name="_Toc47262053"/>
      <w:bookmarkStart w:id="82" w:name="_Toc471327962"/>
      <w:bookmarkStart w:id="83" w:name="_Toc47261674"/>
      <w:bookmarkStart w:id="84" w:name="_Toc49019220"/>
      <w:bookmarkStart w:id="85" w:name="_Toc47418239"/>
      <w:bookmarkStart w:id="86" w:name="_Toc48791219"/>
      <w:bookmarkStart w:id="87" w:name="_Toc47261054"/>
      <w:bookmarkStart w:id="88" w:name="_Toc344475813"/>
      <w:bookmarkStart w:id="89" w:name="_Toc47418922"/>
      <w:bookmarkStart w:id="90" w:name="_Toc47261869"/>
      <w:r>
        <w:rPr>
          <w:rFonts w:hint="eastAsia" w:ascii="仿宋" w:hAnsi="仿宋" w:eastAsia="仿宋" w:cs="仿宋"/>
        </w:rPr>
        <w:t>响应文件的编制</w:t>
      </w:r>
      <w:bookmarkEnd w:id="78"/>
      <w:bookmarkEnd w:id="79"/>
      <w:bookmarkEnd w:id="80"/>
      <w:bookmarkEnd w:id="81"/>
      <w:bookmarkEnd w:id="82"/>
      <w:bookmarkEnd w:id="83"/>
      <w:bookmarkEnd w:id="84"/>
      <w:bookmarkEnd w:id="85"/>
      <w:bookmarkEnd w:id="86"/>
      <w:bookmarkEnd w:id="87"/>
      <w:bookmarkEnd w:id="88"/>
      <w:bookmarkEnd w:id="89"/>
      <w:bookmarkEnd w:id="90"/>
    </w:p>
    <w:p>
      <w:pPr>
        <w:pStyle w:val="2"/>
        <w:spacing w:after="143" w:line="360" w:lineRule="auto"/>
        <w:rPr>
          <w:rFonts w:hint="eastAsia" w:ascii="仿宋" w:hAnsi="仿宋" w:eastAsia="仿宋" w:cs="仿宋"/>
        </w:rPr>
      </w:pPr>
      <w:r>
        <w:rPr>
          <w:rFonts w:hint="eastAsia" w:ascii="仿宋" w:hAnsi="仿宋" w:eastAsia="仿宋" w:cs="仿宋"/>
        </w:rPr>
        <w:t>编制要求</w:t>
      </w:r>
    </w:p>
    <w:p>
      <w:pPr>
        <w:spacing w:line="360" w:lineRule="auto"/>
        <w:ind w:firstLine="580" w:firstLineChars="200"/>
        <w:rPr>
          <w:rFonts w:hint="eastAsia" w:ascii="仿宋" w:hAnsi="仿宋" w:eastAsia="仿宋" w:cs="仿宋"/>
          <w:kern w:val="2"/>
          <w:sz w:val="24"/>
          <w:szCs w:val="28"/>
          <w:lang w:val="en-US" w:eastAsia="zh-CN" w:bidi="ar-SA"/>
        </w:rPr>
      </w:pPr>
      <w:r>
        <w:rPr>
          <w:rFonts w:hint="eastAsia" w:ascii="仿宋" w:hAnsi="仿宋" w:eastAsia="仿宋" w:cs="仿宋"/>
          <w:kern w:val="2"/>
          <w:sz w:val="24"/>
          <w:szCs w:val="28"/>
          <w:lang w:val="en-US" w:eastAsia="zh-CN" w:bidi="ar-SA"/>
        </w:rPr>
        <w:t>供应商应当按照供应商须知前附表的要求制作并递交响应文件</w:t>
      </w:r>
    </w:p>
    <w:p>
      <w:pPr>
        <w:pStyle w:val="2"/>
        <w:spacing w:after="143" w:line="360" w:lineRule="auto"/>
        <w:rPr>
          <w:rFonts w:hint="eastAsia" w:ascii="仿宋" w:hAnsi="仿宋" w:eastAsia="仿宋" w:cs="仿宋"/>
        </w:rPr>
      </w:pPr>
      <w:r>
        <w:rPr>
          <w:rFonts w:hint="eastAsia" w:ascii="仿宋" w:hAnsi="仿宋" w:eastAsia="仿宋" w:cs="仿宋"/>
        </w:rPr>
        <w:t>响应文件构成</w:t>
      </w:r>
    </w:p>
    <w:p>
      <w:pPr>
        <w:pStyle w:val="62"/>
        <w:spacing w:line="360" w:lineRule="auto"/>
        <w:ind w:firstLine="580"/>
        <w:rPr>
          <w:rFonts w:hint="eastAsia" w:ascii="仿宋" w:hAnsi="仿宋" w:eastAsia="仿宋" w:cs="仿宋"/>
        </w:rPr>
      </w:pPr>
      <w:r>
        <w:rPr>
          <w:rFonts w:hint="eastAsia" w:ascii="仿宋" w:hAnsi="仿宋" w:eastAsia="仿宋" w:cs="仿宋"/>
        </w:rPr>
        <w:t>供应商编写的响应文件应包括下列部分：第五章：响应文件格式</w:t>
      </w:r>
    </w:p>
    <w:p>
      <w:pPr>
        <w:pStyle w:val="2"/>
        <w:spacing w:after="143" w:line="360" w:lineRule="auto"/>
        <w:rPr>
          <w:rFonts w:hint="eastAsia" w:ascii="仿宋" w:hAnsi="仿宋" w:eastAsia="仿宋" w:cs="仿宋"/>
        </w:rPr>
      </w:pPr>
      <w:r>
        <w:rPr>
          <w:rFonts w:hint="eastAsia" w:ascii="仿宋" w:hAnsi="仿宋" w:eastAsia="仿宋" w:cs="仿宋"/>
        </w:rPr>
        <w:t>响应文件格式：</w:t>
      </w:r>
    </w:p>
    <w:p>
      <w:pPr>
        <w:pStyle w:val="62"/>
        <w:spacing w:line="360" w:lineRule="auto"/>
        <w:ind w:firstLine="580"/>
        <w:rPr>
          <w:rFonts w:hint="eastAsia" w:ascii="仿宋" w:hAnsi="仿宋" w:eastAsia="仿宋" w:cs="仿宋"/>
        </w:rPr>
      </w:pPr>
      <w:r>
        <w:rPr>
          <w:rFonts w:hint="eastAsia" w:ascii="仿宋" w:hAnsi="仿宋" w:eastAsia="仿宋" w:cs="仿宋"/>
        </w:rPr>
        <w:t>6.1供应商应按磋商文件的内容与要求和第五章提供的格式编写其响应文件，供应商不得缺少或留空任何磋商文件要求填写的表格或提交的资料。</w:t>
      </w:r>
    </w:p>
    <w:p>
      <w:pPr>
        <w:pStyle w:val="62"/>
        <w:spacing w:line="360" w:lineRule="auto"/>
        <w:ind w:firstLine="580"/>
        <w:rPr>
          <w:rFonts w:hint="eastAsia" w:ascii="仿宋" w:hAnsi="仿宋" w:eastAsia="仿宋" w:cs="仿宋"/>
        </w:rPr>
      </w:pPr>
      <w:r>
        <w:rPr>
          <w:rFonts w:hint="eastAsia" w:ascii="仿宋" w:hAnsi="仿宋" w:eastAsia="仿宋" w:cs="仿宋"/>
        </w:rPr>
        <w:t>6.2供应商应将响应文件按规定的顺序编排、并应编制目录、逐页标注连续页码。</w:t>
      </w:r>
    </w:p>
    <w:p>
      <w:pPr>
        <w:pStyle w:val="2"/>
        <w:spacing w:after="143" w:line="360" w:lineRule="auto"/>
        <w:rPr>
          <w:rFonts w:hint="eastAsia" w:ascii="仿宋" w:hAnsi="仿宋" w:eastAsia="仿宋" w:cs="仿宋"/>
        </w:rPr>
      </w:pPr>
      <w:r>
        <w:rPr>
          <w:rFonts w:hint="eastAsia" w:ascii="仿宋" w:hAnsi="仿宋" w:eastAsia="仿宋" w:cs="仿宋"/>
        </w:rPr>
        <w:t>磋商报价</w:t>
      </w:r>
    </w:p>
    <w:p>
      <w:pPr>
        <w:pStyle w:val="62"/>
        <w:spacing w:line="360" w:lineRule="auto"/>
        <w:ind w:firstLine="580"/>
        <w:rPr>
          <w:rFonts w:hint="eastAsia" w:ascii="仿宋" w:hAnsi="仿宋" w:eastAsia="仿宋" w:cs="仿宋"/>
        </w:rPr>
      </w:pPr>
      <w:r>
        <w:rPr>
          <w:rFonts w:hint="eastAsia" w:ascii="仿宋" w:hAnsi="仿宋" w:eastAsia="仿宋" w:cs="仿宋"/>
        </w:rPr>
        <w:t>供应商应在响应一览表上填写所有项目的单价及合价。</w:t>
      </w:r>
    </w:p>
    <w:p>
      <w:pPr>
        <w:pStyle w:val="2"/>
        <w:spacing w:after="143" w:line="360" w:lineRule="auto"/>
        <w:rPr>
          <w:rFonts w:hint="eastAsia" w:ascii="仿宋" w:hAnsi="仿宋" w:eastAsia="仿宋" w:cs="仿宋"/>
        </w:rPr>
      </w:pPr>
      <w:r>
        <w:rPr>
          <w:rFonts w:hint="eastAsia" w:ascii="仿宋" w:hAnsi="仿宋" w:eastAsia="仿宋" w:cs="仿宋"/>
        </w:rPr>
        <w:t>报价货币</w:t>
      </w:r>
    </w:p>
    <w:p>
      <w:pPr>
        <w:pStyle w:val="62"/>
        <w:spacing w:line="360" w:lineRule="auto"/>
        <w:ind w:firstLine="580"/>
        <w:rPr>
          <w:rFonts w:hint="eastAsia" w:ascii="仿宋" w:hAnsi="仿宋" w:eastAsia="仿宋" w:cs="仿宋"/>
        </w:rPr>
      </w:pPr>
      <w:r>
        <w:rPr>
          <w:rFonts w:hint="eastAsia" w:ascii="仿宋" w:hAnsi="仿宋" w:eastAsia="仿宋" w:cs="仿宋"/>
        </w:rPr>
        <w:t>供应商提供的报价表一律用人民币报价。</w:t>
      </w:r>
    </w:p>
    <w:p>
      <w:pPr>
        <w:pStyle w:val="2"/>
        <w:spacing w:after="143" w:line="360" w:lineRule="auto"/>
        <w:rPr>
          <w:rFonts w:hint="eastAsia" w:ascii="仿宋" w:hAnsi="仿宋" w:eastAsia="仿宋" w:cs="仿宋"/>
        </w:rPr>
      </w:pPr>
      <w:r>
        <w:rPr>
          <w:rFonts w:hint="eastAsia" w:ascii="仿宋" w:hAnsi="仿宋" w:eastAsia="仿宋" w:cs="仿宋"/>
        </w:rPr>
        <w:t>证明供应商合格和资格的文件</w:t>
      </w:r>
    </w:p>
    <w:p>
      <w:pPr>
        <w:pStyle w:val="62"/>
        <w:spacing w:line="360" w:lineRule="auto"/>
        <w:ind w:firstLine="580"/>
        <w:rPr>
          <w:rFonts w:hint="eastAsia" w:ascii="仿宋" w:hAnsi="仿宋" w:eastAsia="仿宋" w:cs="仿宋"/>
        </w:rPr>
      </w:pPr>
      <w:r>
        <w:rPr>
          <w:rFonts w:hint="eastAsia" w:ascii="仿宋" w:hAnsi="仿宋" w:eastAsia="仿宋" w:cs="仿宋"/>
        </w:rPr>
        <w:t>9.1 供应商应提交证明其有资格参加磋商和成交后有能力履行合同的文件，并作为其磋商文件的一部分。</w:t>
      </w:r>
    </w:p>
    <w:p>
      <w:pPr>
        <w:pStyle w:val="62"/>
        <w:spacing w:line="360" w:lineRule="auto"/>
        <w:ind w:firstLine="580"/>
        <w:rPr>
          <w:rFonts w:hint="eastAsia" w:ascii="仿宋" w:hAnsi="仿宋" w:eastAsia="仿宋" w:cs="仿宋"/>
        </w:rPr>
      </w:pPr>
      <w:r>
        <w:rPr>
          <w:rFonts w:hint="eastAsia" w:ascii="仿宋" w:hAnsi="仿宋" w:eastAsia="仿宋" w:cs="仿宋"/>
        </w:rPr>
        <w:t>9.2 供应商提交的合格性证明文件应使采购人满意，供应商在磋商时应符合本须知的规定。</w:t>
      </w:r>
    </w:p>
    <w:p>
      <w:pPr>
        <w:pStyle w:val="2"/>
        <w:spacing w:after="143" w:line="360" w:lineRule="auto"/>
        <w:rPr>
          <w:rFonts w:hint="eastAsia" w:ascii="仿宋" w:hAnsi="仿宋" w:eastAsia="仿宋" w:cs="仿宋"/>
        </w:rPr>
      </w:pPr>
      <w:r>
        <w:rPr>
          <w:rFonts w:hint="eastAsia" w:ascii="仿宋" w:hAnsi="仿宋" w:eastAsia="仿宋" w:cs="仿宋"/>
        </w:rPr>
        <w:t>磋商有效期</w:t>
      </w:r>
    </w:p>
    <w:p>
      <w:pPr>
        <w:pStyle w:val="62"/>
        <w:spacing w:line="360" w:lineRule="auto"/>
        <w:ind w:firstLine="580"/>
        <w:rPr>
          <w:rFonts w:hint="eastAsia" w:ascii="仿宋" w:hAnsi="仿宋" w:eastAsia="仿宋" w:cs="仿宋"/>
        </w:rPr>
      </w:pPr>
      <w:r>
        <w:rPr>
          <w:rFonts w:hint="eastAsia" w:ascii="仿宋" w:hAnsi="仿宋" w:eastAsia="仿宋" w:cs="仿宋"/>
        </w:rPr>
        <w:t>10.1 磋商应自本须知第二章规定的磋商时间起60日内有效。磋商有效期声明不足的磋商文件将被视为非响应性而予以拒绝。</w:t>
      </w:r>
    </w:p>
    <w:p>
      <w:pPr>
        <w:pStyle w:val="62"/>
        <w:spacing w:line="360" w:lineRule="auto"/>
        <w:ind w:firstLine="580"/>
        <w:rPr>
          <w:rFonts w:hint="eastAsia" w:ascii="仿宋" w:hAnsi="仿宋" w:eastAsia="仿宋" w:cs="仿宋"/>
        </w:rPr>
      </w:pPr>
      <w:r>
        <w:rPr>
          <w:rFonts w:hint="eastAsia" w:ascii="仿宋" w:hAnsi="仿宋" w:eastAsia="仿宋" w:cs="仿宋"/>
        </w:rPr>
        <w:t>10.2 特殊情况下，在原磋商有效期截止之前，采购代理机构可要求供应商同意延长磋商有效期。这种要求与答复均应以书面形式提交。供应商可拒绝采购代理机构的这种要求。接受延长磋商有效期的供应商将不会被要求和允许修正其响应文件。</w:t>
      </w:r>
    </w:p>
    <w:p>
      <w:pPr>
        <w:pStyle w:val="2"/>
        <w:numPr>
          <w:ilvl w:val="0"/>
          <w:numId w:val="0"/>
        </w:numPr>
        <w:spacing w:after="143" w:line="360" w:lineRule="auto"/>
        <w:ind w:left="284" w:leftChars="0"/>
        <w:rPr>
          <w:rFonts w:hint="eastAsia" w:ascii="仿宋" w:hAnsi="仿宋" w:eastAsia="仿宋" w:cs="仿宋"/>
          <w:lang w:val="en-US" w:eastAsia="zh-CN"/>
        </w:rPr>
      </w:pPr>
      <w:r>
        <w:rPr>
          <w:rFonts w:hint="eastAsia" w:ascii="仿宋" w:hAnsi="仿宋" w:eastAsia="仿宋" w:cs="仿宋"/>
          <w:lang w:val="en-US" w:eastAsia="zh-CN"/>
        </w:rPr>
        <w:t>11.纸质版响应文件要求</w:t>
      </w:r>
    </w:p>
    <w:p>
      <w:pPr>
        <w:pStyle w:val="62"/>
        <w:spacing w:line="360" w:lineRule="auto"/>
        <w:ind w:firstLine="580"/>
        <w:rPr>
          <w:rFonts w:hint="eastAsia" w:ascii="仿宋" w:hAnsi="仿宋" w:eastAsia="仿宋" w:cs="仿宋"/>
          <w:lang w:val="en-US" w:eastAsia="zh-CN"/>
        </w:rPr>
      </w:pPr>
      <w:r>
        <w:rPr>
          <w:rFonts w:hint="eastAsia" w:ascii="仿宋" w:hAnsi="仿宋" w:eastAsia="仿宋" w:cs="仿宋"/>
          <w:lang w:val="en-US" w:eastAsia="zh-CN"/>
        </w:rPr>
        <w:t>无</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响应保证金</w:t>
      </w:r>
    </w:p>
    <w:p>
      <w:pPr>
        <w:pStyle w:val="62"/>
        <w:spacing w:line="360" w:lineRule="auto"/>
        <w:ind w:firstLine="580"/>
        <w:rPr>
          <w:rFonts w:hint="eastAsia" w:ascii="仿宋" w:hAnsi="仿宋" w:eastAsia="仿宋" w:cs="仿宋"/>
          <w:kern w:val="0"/>
        </w:rPr>
      </w:pPr>
      <w:r>
        <w:rPr>
          <w:rFonts w:hint="eastAsia" w:ascii="仿宋" w:hAnsi="仿宋" w:eastAsia="仿宋" w:cs="仿宋"/>
        </w:rPr>
        <w:t>12.1响应保证金缴纳要求详见须知前附表。</w:t>
      </w:r>
    </w:p>
    <w:p>
      <w:pPr>
        <w:pStyle w:val="62"/>
        <w:spacing w:line="360" w:lineRule="auto"/>
        <w:ind w:firstLine="580"/>
        <w:rPr>
          <w:rFonts w:hint="eastAsia" w:ascii="仿宋" w:hAnsi="仿宋" w:eastAsia="仿宋" w:cs="仿宋"/>
        </w:rPr>
      </w:pPr>
      <w:r>
        <w:rPr>
          <w:rFonts w:hint="eastAsia" w:ascii="仿宋" w:hAnsi="仿宋" w:eastAsia="仿宋" w:cs="仿宋"/>
        </w:rPr>
        <w:t>12.2凡没有根据本须知的规定随附响应保证金的磋商文件，将被视为未响应性磋商予以拒绝。</w:t>
      </w:r>
    </w:p>
    <w:p>
      <w:pPr>
        <w:pStyle w:val="4"/>
        <w:spacing w:line="360" w:lineRule="auto"/>
        <w:rPr>
          <w:rFonts w:hint="eastAsia" w:ascii="仿宋" w:hAnsi="仿宋" w:eastAsia="仿宋" w:cs="仿宋"/>
        </w:rPr>
      </w:pPr>
      <w:bookmarkStart w:id="91" w:name="_Toc47418923"/>
      <w:bookmarkStart w:id="92" w:name="_Toc47261675"/>
      <w:bookmarkStart w:id="93" w:name="_Toc48995836"/>
      <w:bookmarkStart w:id="94" w:name="_Toc47261055"/>
      <w:bookmarkStart w:id="95" w:name="_Toc49019221"/>
      <w:bookmarkStart w:id="96" w:name="_Toc44783872"/>
      <w:bookmarkStart w:id="97" w:name="_Toc47418240"/>
      <w:bookmarkStart w:id="98" w:name="_Toc48791220"/>
      <w:bookmarkStart w:id="99" w:name="_Toc47262054"/>
      <w:bookmarkStart w:id="100" w:name="_Toc344475814"/>
      <w:bookmarkStart w:id="101" w:name="_Toc47418716"/>
      <w:bookmarkStart w:id="102" w:name="_Toc471327963"/>
      <w:bookmarkStart w:id="103" w:name="_Toc47261870"/>
      <w:r>
        <w:rPr>
          <w:rFonts w:hint="eastAsia" w:ascii="仿宋" w:hAnsi="仿宋" w:eastAsia="仿宋" w:cs="仿宋"/>
        </w:rPr>
        <w:t>响应文件的递交</w:t>
      </w:r>
      <w:bookmarkEnd w:id="91"/>
      <w:bookmarkEnd w:id="92"/>
      <w:bookmarkEnd w:id="93"/>
      <w:bookmarkEnd w:id="94"/>
      <w:bookmarkEnd w:id="95"/>
      <w:bookmarkEnd w:id="96"/>
      <w:bookmarkEnd w:id="97"/>
      <w:bookmarkEnd w:id="98"/>
      <w:bookmarkEnd w:id="99"/>
      <w:bookmarkEnd w:id="100"/>
      <w:bookmarkEnd w:id="101"/>
      <w:bookmarkEnd w:id="102"/>
      <w:bookmarkEnd w:id="103"/>
    </w:p>
    <w:p>
      <w:pPr>
        <w:pStyle w:val="62"/>
        <w:spacing w:line="360" w:lineRule="auto"/>
        <w:ind w:left="0" w:leftChars="0" w:firstLine="330" w:firstLineChars="1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13.线上电子文件的要求</w:t>
      </w:r>
    </w:p>
    <w:p>
      <w:pPr>
        <w:spacing w:line="360" w:lineRule="auto"/>
        <w:ind w:firstLine="52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rPr>
        <w:t>13.1</w:t>
      </w:r>
      <w:r>
        <w:rPr>
          <w:rFonts w:hint="eastAsia" w:ascii="仿宋" w:hAnsi="仿宋" w:eastAsia="仿宋" w:cs="仿宋"/>
          <w:color w:val="000000" w:themeColor="text1"/>
          <w:sz w:val="24"/>
          <w:szCs w:val="24"/>
          <w14:textFill>
            <w14:solidFill>
              <w14:schemeClr w14:val="tx1"/>
            </w14:solidFill>
          </w14:textFill>
        </w:rPr>
        <w:t>本项目采用电子化交易系统,需办理相关CA证书锁，各</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须在投标截止时间前上传加密的电子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至“</w:t>
      </w:r>
      <w:r>
        <w:rPr>
          <w:rFonts w:hint="eastAsia" w:ascii="仿宋" w:hAnsi="仿宋" w:eastAsia="仿宋" w:cs="仿宋"/>
          <w:color w:val="000000" w:themeColor="text1"/>
          <w:sz w:val="24"/>
          <w:szCs w:val="24"/>
          <w:lang w:eastAsia="zh-CN"/>
          <w14:textFill>
            <w14:solidFill>
              <w14:schemeClr w14:val="tx1"/>
            </w14:solidFill>
          </w14:textFill>
        </w:rPr>
        <w:t>西藏自治区公共资源交易网（http://ggzy.xizang.gov.cn）</w:t>
      </w:r>
      <w:r>
        <w:rPr>
          <w:rFonts w:hint="eastAsia" w:ascii="仿宋" w:hAnsi="仿宋" w:eastAsia="仿宋" w:cs="仿宋"/>
          <w:color w:val="000000" w:themeColor="text1"/>
          <w:sz w:val="24"/>
          <w:szCs w:val="24"/>
          <w14:textFill>
            <w14:solidFill>
              <w14:schemeClr w14:val="tx1"/>
            </w14:solidFill>
          </w14:textFill>
        </w:rPr>
        <w:t>”。相关CA证书锁可在</w:t>
      </w:r>
      <w:r>
        <w:rPr>
          <w:rFonts w:hint="eastAsia" w:ascii="仿宋" w:hAnsi="仿宋" w:eastAsia="仿宋" w:cs="仿宋"/>
          <w:color w:val="000000" w:themeColor="text1"/>
          <w:sz w:val="24"/>
          <w:szCs w:val="24"/>
          <w:lang w:eastAsia="zh-CN"/>
          <w14:textFill>
            <w14:solidFill>
              <w14:schemeClr w14:val="tx1"/>
            </w14:solidFill>
          </w14:textFill>
        </w:rPr>
        <w:t>西藏自治区公共资源交易网（http://ggzy.xizang.gov.cn）</w:t>
      </w:r>
      <w:r>
        <w:rPr>
          <w:rFonts w:hint="eastAsia" w:ascii="仿宋" w:hAnsi="仿宋" w:eastAsia="仿宋" w:cs="仿宋"/>
          <w:color w:val="000000" w:themeColor="text1"/>
          <w:sz w:val="24"/>
          <w:szCs w:val="24"/>
          <w14:textFill>
            <w14:solidFill>
              <w14:schemeClr w14:val="tx1"/>
            </w14:solidFill>
          </w14:textFill>
        </w:rPr>
        <w:t>查询办理流程。各</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未在投标截止时间前上传电子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的，视为自动放弃投标。</w:t>
      </w:r>
    </w:p>
    <w:p>
      <w:pPr>
        <w:spacing w:line="360" w:lineRule="auto"/>
        <w:ind w:firstLine="5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13.2</w:t>
      </w:r>
      <w:r>
        <w:rPr>
          <w:rFonts w:hint="eastAsia" w:ascii="仿宋" w:hAnsi="仿宋" w:eastAsia="仿宋" w:cs="仿宋"/>
          <w:color w:val="000000" w:themeColor="text1"/>
          <w:sz w:val="24"/>
          <w:szCs w:val="24"/>
          <w14:textFill>
            <w14:solidFill>
              <w14:schemeClr w14:val="tx1"/>
            </w14:solidFill>
          </w14:textFill>
        </w:rPr>
        <w:t>开标现场，只对电子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进行开标。</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如遇网站、系统平台、CA证书锁等相关问题无法上传电子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时，请及时按照</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自治区公共资源交易平台服务中心联系方式进行咨询。</w:t>
      </w:r>
    </w:p>
    <w:p>
      <w:pPr>
        <w:spacing w:line="360" w:lineRule="auto"/>
        <w:ind w:firstLine="5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13.3</w:t>
      </w:r>
      <w:r>
        <w:rPr>
          <w:rFonts w:hint="eastAsia" w:ascii="仿宋" w:hAnsi="仿宋" w:eastAsia="仿宋" w:cs="仿宋"/>
          <w:color w:val="000000" w:themeColor="text1"/>
          <w:sz w:val="24"/>
          <w:szCs w:val="24"/>
          <w14:textFill>
            <w14:solidFill>
              <w14:schemeClr w14:val="tx1"/>
            </w14:solidFill>
          </w14:textFill>
        </w:rPr>
        <w:t>本项目采用电子评标（线上评标），只对电子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进行评审，如在评标过程中出现意外情况导致无法继续进行电子评标时，如由系统原因，将请</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公共资源交易平台服务中心进行解决，如因</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上传的原因，其责任由</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自行承担。</w:t>
      </w:r>
    </w:p>
    <w:p>
      <w:pPr>
        <w:pStyle w:val="24"/>
        <w:spacing w:line="360" w:lineRule="auto"/>
        <w:ind w:firstLine="5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13.4</w:t>
      </w:r>
      <w:r>
        <w:rPr>
          <w:rFonts w:hint="eastAsia" w:ascii="仿宋" w:hAnsi="仿宋" w:eastAsia="仿宋" w:cs="仿宋"/>
          <w:color w:val="000000" w:themeColor="text1"/>
          <w:sz w:val="24"/>
          <w:szCs w:val="24"/>
          <w14:textFill>
            <w14:solidFill>
              <w14:schemeClr w14:val="tx1"/>
            </w14:solidFill>
          </w14:textFill>
        </w:rPr>
        <w:t>具体请登录</w:t>
      </w:r>
      <w:r>
        <w:rPr>
          <w:rFonts w:hint="eastAsia" w:ascii="仿宋" w:hAnsi="仿宋" w:eastAsia="仿宋" w:cs="仿宋"/>
          <w:color w:val="000000" w:themeColor="text1"/>
          <w:sz w:val="24"/>
          <w:szCs w:val="24"/>
          <w:lang w:eastAsia="zh-CN"/>
          <w14:textFill>
            <w14:solidFill>
              <w14:schemeClr w14:val="tx1"/>
            </w14:solidFill>
          </w14:textFill>
        </w:rPr>
        <w:t>西藏自治区公共资源交易网（http://ggzy.xizang.gov.cn）</w:t>
      </w:r>
      <w:r>
        <w:rPr>
          <w:rFonts w:hint="eastAsia" w:ascii="仿宋" w:hAnsi="仿宋" w:eastAsia="仿宋" w:cs="仿宋"/>
          <w:color w:val="000000" w:themeColor="text1"/>
          <w:sz w:val="24"/>
          <w:szCs w:val="24"/>
          <w14:textFill>
            <w14:solidFill>
              <w14:schemeClr w14:val="tx1"/>
            </w14:solidFill>
          </w14:textFill>
        </w:rPr>
        <w:t>认真了解流程和要求并严格按照操作手册制做</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（建议</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将</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中需要签字盖章的页面打印后签字盖章，再将已签字盖章的页面扫描成彩色PDF格式上传至电子交易系统，以保证</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签章的完整性），在投标截止时间前上传至西藏自治区公共资源电子交易系统。</w:t>
      </w:r>
    </w:p>
    <w:p>
      <w:pPr>
        <w:spacing w:line="360" w:lineRule="auto"/>
        <w:ind w:firstLine="5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13.5</w:t>
      </w:r>
      <w:r>
        <w:rPr>
          <w:rFonts w:hint="eastAsia" w:ascii="仿宋" w:hAnsi="仿宋" w:eastAsia="仿宋" w:cs="仿宋"/>
          <w:color w:val="000000" w:themeColor="text1"/>
          <w:sz w:val="24"/>
          <w:szCs w:val="24"/>
          <w14:textFill>
            <w14:solidFill>
              <w14:schemeClr w14:val="tx1"/>
            </w14:solidFill>
          </w14:textFill>
        </w:rPr>
        <w:t>根据《关于公共资源交易领域政府采购项目实行线上“不见面”开标的通知》，本项目采用不见面开标方式，</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不需要出席开标现场参与开标活动，</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通过线上“不见面开标”可全程参与开标会议，</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在规定的投标截止时间前登录</w:t>
      </w:r>
      <w:r>
        <w:rPr>
          <w:rFonts w:hint="eastAsia" w:ascii="仿宋" w:hAnsi="仿宋" w:eastAsia="仿宋" w:cs="仿宋"/>
          <w:color w:val="000000" w:themeColor="text1"/>
          <w:sz w:val="24"/>
          <w:szCs w:val="24"/>
          <w:lang w:val="en-US" w:eastAsia="zh-CN"/>
          <w14:textFill>
            <w14:solidFill>
              <w14:schemeClr w14:val="tx1"/>
            </w14:solidFill>
          </w14:textFill>
        </w:rPr>
        <w:t>西藏自治区</w:t>
      </w:r>
      <w:r>
        <w:rPr>
          <w:rFonts w:hint="eastAsia" w:ascii="仿宋" w:hAnsi="仿宋" w:eastAsia="仿宋" w:cs="仿宋"/>
          <w:color w:val="000000" w:themeColor="text1"/>
          <w:sz w:val="24"/>
          <w:szCs w:val="24"/>
          <w14:textFill>
            <w14:solidFill>
              <w14:schemeClr w14:val="tx1"/>
            </w14:solidFill>
          </w14:textFill>
        </w:rPr>
        <w:t>公共资源交易平台不见面开标大厅在线开标并保持在线状态，采购代理机构在投标截止时间后20分钟内发起解密，</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必须在30分钟内完成解密；否则</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对该项目投标无效，</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在投标截止时间前需上传</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至系统中。（注：本项目采用不见面开标方式，须</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远程在线完成</w:t>
      </w:r>
      <w:r>
        <w:rPr>
          <w:rFonts w:hint="eastAsia" w:ascii="仿宋" w:hAnsi="仿宋" w:eastAsia="仿宋" w:cs="仿宋"/>
          <w:color w:val="000000" w:themeColor="text1"/>
          <w:sz w:val="24"/>
          <w:szCs w:val="24"/>
          <w:lang w:eastAsia="zh-CN"/>
          <w14:textFill>
            <w14:solidFill>
              <w14:schemeClr w14:val="tx1"/>
            </w14:solidFill>
          </w14:textFill>
        </w:rPr>
        <w:t>响应文件</w:t>
      </w:r>
      <w:r>
        <w:rPr>
          <w:rFonts w:hint="eastAsia" w:ascii="仿宋" w:hAnsi="仿宋" w:eastAsia="仿宋" w:cs="仿宋"/>
          <w:color w:val="000000" w:themeColor="text1"/>
          <w:sz w:val="24"/>
          <w:szCs w:val="24"/>
          <w14:textFill>
            <w14:solidFill>
              <w14:schemeClr w14:val="tx1"/>
            </w14:solidFill>
          </w14:textFill>
        </w:rPr>
        <w:t>解密工作，请各潜在</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在电脑上安装CA驱动，否则影响解密工作一切后果自行承担。）。</w:t>
      </w:r>
    </w:p>
    <w:p>
      <w:pPr>
        <w:pStyle w:val="5"/>
        <w:numPr>
          <w:ilvl w:val="1"/>
          <w:numId w:val="0"/>
        </w:numPr>
        <w:tabs>
          <w:tab w:val="left" w:pos="588"/>
        </w:tabs>
        <w:spacing w:line="360" w:lineRule="auto"/>
        <w:ind w:left="142" w:firstLine="580" w:firstLineChars="200"/>
        <w:jc w:val="left"/>
        <w:rPr>
          <w:rFonts w:hint="eastAsia" w:ascii="仿宋" w:hAnsi="仿宋" w:eastAsia="仿宋" w:cs="仿宋"/>
        </w:rPr>
      </w:pPr>
      <w:bookmarkStart w:id="104" w:name="_Toc12152"/>
      <w:r>
        <w:rPr>
          <w:rFonts w:hint="eastAsia" w:ascii="仿宋" w:hAnsi="仿宋" w:eastAsia="仿宋" w:cs="仿宋"/>
          <w:color w:val="000000" w:themeColor="text1"/>
          <w:lang w:val="en-US" w:eastAsia="zh-CN"/>
          <w14:textFill>
            <w14:solidFill>
              <w14:schemeClr w14:val="tx1"/>
            </w14:solidFill>
          </w14:textFill>
        </w:rPr>
        <w:t>13.6</w:t>
      </w:r>
      <w:r>
        <w:rPr>
          <w:rFonts w:hint="eastAsia" w:ascii="仿宋" w:hAnsi="仿宋" w:eastAsia="仿宋" w:cs="仿宋"/>
          <w:color w:val="000000" w:themeColor="text1"/>
          <w14:textFill>
            <w14:solidFill>
              <w14:schemeClr w14:val="tx1"/>
            </w14:solidFill>
          </w14:textFill>
        </w:rPr>
        <w:t>电子</w:t>
      </w:r>
      <w:r>
        <w:rPr>
          <w:rFonts w:hint="eastAsia" w:ascii="仿宋" w:hAnsi="仿宋" w:eastAsia="仿宋" w:cs="仿宋"/>
          <w:color w:val="000000" w:themeColor="text1"/>
          <w:lang w:eastAsia="zh-CN"/>
          <w14:textFill>
            <w14:solidFill>
              <w14:schemeClr w14:val="tx1"/>
            </w14:solidFill>
          </w14:textFill>
        </w:rPr>
        <w:t>响应文件</w:t>
      </w:r>
      <w:r>
        <w:rPr>
          <w:rFonts w:hint="eastAsia" w:ascii="仿宋" w:hAnsi="仿宋" w:eastAsia="仿宋" w:cs="仿宋"/>
          <w:color w:val="000000" w:themeColor="text1"/>
          <w14:textFill>
            <w14:solidFill>
              <w14:schemeClr w14:val="tx1"/>
            </w14:solidFill>
          </w14:textFill>
        </w:rPr>
        <w:t>签字、盖章要求:签字、盖章位置及要求应符合“</w:t>
      </w:r>
      <w:r>
        <w:rPr>
          <w:rFonts w:hint="eastAsia" w:ascii="仿宋" w:hAnsi="仿宋" w:eastAsia="仿宋" w:cs="仿宋"/>
          <w:color w:val="000000" w:themeColor="text1"/>
          <w:lang w:val="en-US" w:eastAsia="zh-CN"/>
          <w14:textFill>
            <w14:solidFill>
              <w14:schemeClr w14:val="tx1"/>
            </w14:solidFill>
          </w14:textFill>
        </w:rPr>
        <w:t>响应</w:t>
      </w:r>
      <w:r>
        <w:rPr>
          <w:rFonts w:hint="eastAsia" w:ascii="仿宋" w:hAnsi="仿宋" w:eastAsia="仿宋" w:cs="仿宋"/>
          <w:color w:val="000000" w:themeColor="text1"/>
          <w14:textFill>
            <w14:solidFill>
              <w14:schemeClr w14:val="tx1"/>
            </w14:solidFill>
          </w14:textFill>
        </w:rPr>
        <w:t>文件格式”规定。</w:t>
      </w:r>
      <w:bookmarkEnd w:id="104"/>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14</w:t>
      </w:r>
      <w:r>
        <w:rPr>
          <w:rFonts w:hint="eastAsia" w:ascii="仿宋" w:hAnsi="仿宋" w:eastAsia="仿宋" w:cs="仿宋"/>
        </w:rPr>
        <w:t>磋商时间</w:t>
      </w:r>
    </w:p>
    <w:p>
      <w:pPr>
        <w:pStyle w:val="62"/>
        <w:spacing w:line="360" w:lineRule="auto"/>
        <w:ind w:firstLine="580"/>
        <w:rPr>
          <w:rFonts w:hint="eastAsia" w:ascii="仿宋" w:hAnsi="仿宋" w:eastAsia="仿宋" w:cs="仿宋"/>
        </w:rPr>
      </w:pPr>
      <w:r>
        <w:rPr>
          <w:rFonts w:hint="eastAsia" w:ascii="仿宋" w:hAnsi="仿宋" w:eastAsia="仿宋" w:cs="仿宋"/>
        </w:rPr>
        <w:t>14.1 响应供应商应在不迟于“供应商须知前附表”中规定的截止日期和时间将响应文件递交至</w:t>
      </w:r>
      <w:r>
        <w:rPr>
          <w:rFonts w:hint="eastAsia" w:ascii="仿宋" w:hAnsi="仿宋" w:eastAsia="仿宋" w:cs="仿宋"/>
          <w:lang w:val="en-US" w:eastAsia="zh-CN"/>
        </w:rPr>
        <w:t>西藏自治区公共资源交易网</w:t>
      </w:r>
      <w:r>
        <w:rPr>
          <w:rFonts w:hint="eastAsia" w:ascii="仿宋" w:hAnsi="仿宋" w:eastAsia="仿宋" w:cs="仿宋"/>
        </w:rPr>
        <w:t>，递交地点应是“供应商须知前附表”中指明的地址。</w:t>
      </w:r>
    </w:p>
    <w:p>
      <w:pPr>
        <w:pStyle w:val="62"/>
        <w:spacing w:line="360" w:lineRule="auto"/>
        <w:ind w:firstLine="580"/>
        <w:rPr>
          <w:rFonts w:hint="eastAsia" w:ascii="仿宋" w:hAnsi="仿宋" w:eastAsia="仿宋" w:cs="仿宋"/>
        </w:rPr>
      </w:pPr>
      <w:r>
        <w:rPr>
          <w:rFonts w:hint="eastAsia" w:ascii="仿宋" w:hAnsi="仿宋" w:eastAsia="仿宋" w:cs="仿宋"/>
        </w:rPr>
        <w:t>14.2 采购代理机构可以按本须知规定，通知修改磋商文件磋商时间。</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15</w:t>
      </w:r>
      <w:r>
        <w:rPr>
          <w:rFonts w:hint="eastAsia" w:ascii="仿宋" w:hAnsi="仿宋" w:eastAsia="仿宋" w:cs="仿宋"/>
        </w:rPr>
        <w:t>响应文件</w:t>
      </w:r>
      <w:r>
        <w:rPr>
          <w:rFonts w:hint="eastAsia" w:ascii="仿宋" w:hAnsi="仿宋" w:eastAsia="仿宋" w:cs="仿宋"/>
          <w:lang w:val="en-US" w:eastAsia="zh-CN"/>
        </w:rPr>
        <w:t>的拒收</w:t>
      </w:r>
    </w:p>
    <w:p>
      <w:pPr>
        <w:pStyle w:val="62"/>
        <w:spacing w:line="360" w:lineRule="auto"/>
        <w:ind w:firstLine="580"/>
        <w:rPr>
          <w:rFonts w:hint="eastAsia" w:ascii="仿宋" w:hAnsi="仿宋" w:eastAsia="仿宋" w:cs="仿宋"/>
        </w:rPr>
      </w:pPr>
      <w:r>
        <w:rPr>
          <w:rFonts w:hint="eastAsia" w:ascii="仿宋" w:hAnsi="仿宋" w:eastAsia="仿宋" w:cs="仿宋"/>
        </w:rPr>
        <w:t>开标时出现下列情况的，将视为逾期送达或者未按照</w:t>
      </w:r>
      <w:r>
        <w:rPr>
          <w:rFonts w:hint="eastAsia" w:ascii="仿宋" w:hAnsi="仿宋" w:eastAsia="仿宋" w:cs="仿宋"/>
          <w:lang w:eastAsia="zh-CN"/>
        </w:rPr>
        <w:t>竞争性磋商文件</w:t>
      </w:r>
      <w:r>
        <w:rPr>
          <w:rFonts w:hint="eastAsia" w:ascii="仿宋" w:hAnsi="仿宋" w:eastAsia="仿宋" w:cs="仿宋"/>
        </w:rPr>
        <w:t>要求密封的</w:t>
      </w:r>
      <w:r>
        <w:rPr>
          <w:rFonts w:hint="eastAsia" w:ascii="仿宋" w:hAnsi="仿宋" w:eastAsia="仿宋" w:cs="仿宋"/>
          <w:lang w:eastAsia="zh-CN"/>
        </w:rPr>
        <w:t>响应文件</w:t>
      </w:r>
      <w:r>
        <w:rPr>
          <w:rFonts w:hint="eastAsia" w:ascii="仿宋" w:hAnsi="仿宋" w:eastAsia="仿宋" w:cs="仿宋"/>
        </w:rPr>
        <w:t>，采购人、采购代理机构应当拒收。</w:t>
      </w:r>
    </w:p>
    <w:p>
      <w:pPr>
        <w:pStyle w:val="62"/>
        <w:spacing w:line="360" w:lineRule="auto"/>
        <w:ind w:firstLine="580"/>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供应商</w:t>
      </w:r>
      <w:r>
        <w:rPr>
          <w:rFonts w:hint="eastAsia" w:ascii="仿宋" w:hAnsi="仿宋" w:eastAsia="仿宋" w:cs="仿宋"/>
        </w:rPr>
        <w:t>的法定代表人或其委托代理人未在规定时间内完成电子</w:t>
      </w:r>
      <w:r>
        <w:rPr>
          <w:rFonts w:hint="eastAsia" w:ascii="仿宋" w:hAnsi="仿宋" w:eastAsia="仿宋" w:cs="仿宋"/>
          <w:lang w:eastAsia="zh-CN"/>
        </w:rPr>
        <w:t>响应文件</w:t>
      </w:r>
      <w:r>
        <w:rPr>
          <w:rFonts w:hint="eastAsia" w:ascii="仿宋" w:hAnsi="仿宋" w:eastAsia="仿宋" w:cs="仿宋"/>
        </w:rPr>
        <w:t>在线解密。</w:t>
      </w:r>
    </w:p>
    <w:p>
      <w:pPr>
        <w:pStyle w:val="62"/>
        <w:spacing w:line="360" w:lineRule="auto"/>
        <w:ind w:firstLine="580"/>
        <w:rPr>
          <w:rFonts w:hint="eastAsia" w:ascii="仿宋" w:hAnsi="仿宋" w:eastAsia="仿宋" w:cs="仿宋"/>
        </w:rPr>
      </w:pPr>
      <w:r>
        <w:rPr>
          <w:rFonts w:hint="eastAsia" w:ascii="仿宋" w:hAnsi="仿宋" w:eastAsia="仿宋" w:cs="仿宋"/>
        </w:rPr>
        <w:t>（2）经检查数字证书无效的</w:t>
      </w:r>
      <w:r>
        <w:rPr>
          <w:rFonts w:hint="eastAsia" w:ascii="仿宋" w:hAnsi="仿宋" w:eastAsia="仿宋" w:cs="仿宋"/>
          <w:lang w:eastAsia="zh-CN"/>
        </w:rPr>
        <w:t>响应文件</w:t>
      </w:r>
      <w:r>
        <w:rPr>
          <w:rFonts w:hint="eastAsia" w:ascii="仿宋" w:hAnsi="仿宋" w:eastAsia="仿宋" w:cs="仿宋"/>
        </w:rPr>
        <w:t>。</w:t>
      </w:r>
    </w:p>
    <w:p>
      <w:pPr>
        <w:pStyle w:val="62"/>
        <w:spacing w:line="360" w:lineRule="auto"/>
        <w:ind w:firstLine="58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供应商</w:t>
      </w:r>
      <w:r>
        <w:rPr>
          <w:rFonts w:hint="eastAsia" w:ascii="仿宋" w:hAnsi="仿宋" w:eastAsia="仿宋" w:cs="仿宋"/>
        </w:rPr>
        <w:t>的法定代表人或其委托代理人自身原因造成电子</w:t>
      </w:r>
      <w:r>
        <w:rPr>
          <w:rFonts w:hint="eastAsia" w:ascii="仿宋" w:hAnsi="仿宋" w:eastAsia="仿宋" w:cs="仿宋"/>
          <w:lang w:eastAsia="zh-CN"/>
        </w:rPr>
        <w:t>响应文件</w:t>
      </w:r>
      <w:r>
        <w:rPr>
          <w:rFonts w:hint="eastAsia" w:ascii="仿宋" w:hAnsi="仿宋" w:eastAsia="仿宋" w:cs="仿宋"/>
        </w:rPr>
        <w:t>未能解密的。</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16</w:t>
      </w:r>
      <w:r>
        <w:rPr>
          <w:rFonts w:hint="eastAsia" w:ascii="仿宋" w:hAnsi="仿宋" w:eastAsia="仿宋" w:cs="仿宋"/>
        </w:rPr>
        <w:t>响应文件的修改与撤回</w:t>
      </w:r>
    </w:p>
    <w:p>
      <w:pPr>
        <w:pStyle w:val="62"/>
        <w:spacing w:line="360" w:lineRule="auto"/>
        <w:ind w:firstLine="580"/>
        <w:rPr>
          <w:rFonts w:hint="eastAsia" w:ascii="仿宋" w:hAnsi="仿宋" w:eastAsia="仿宋" w:cs="仿宋"/>
        </w:rPr>
      </w:pPr>
      <w:r>
        <w:rPr>
          <w:rFonts w:hint="eastAsia" w:ascii="仿宋" w:hAnsi="仿宋" w:eastAsia="仿宋" w:cs="仿宋"/>
        </w:rPr>
        <w:t>16.1 供应商在递交响应文件后，可以修改或撤回其响应文件，但供应商必须在规定的磋商时间之前将修改或撤回的书面通知递交到采购代理机构。</w:t>
      </w:r>
    </w:p>
    <w:p>
      <w:pPr>
        <w:pStyle w:val="62"/>
        <w:spacing w:line="360" w:lineRule="auto"/>
        <w:ind w:firstLine="580"/>
        <w:rPr>
          <w:rFonts w:hint="eastAsia" w:ascii="仿宋" w:hAnsi="仿宋" w:eastAsia="仿宋" w:cs="仿宋"/>
        </w:rPr>
      </w:pPr>
      <w:r>
        <w:rPr>
          <w:rFonts w:hint="eastAsia" w:ascii="仿宋" w:hAnsi="仿宋" w:eastAsia="仿宋" w:cs="仿宋"/>
        </w:rPr>
        <w:t>16.2 供应商的修改或撤回通知应加盖公章并密封递交。</w:t>
      </w:r>
    </w:p>
    <w:p>
      <w:pPr>
        <w:pStyle w:val="62"/>
        <w:spacing w:line="360" w:lineRule="auto"/>
        <w:ind w:firstLine="580"/>
        <w:rPr>
          <w:rFonts w:hint="eastAsia" w:ascii="仿宋" w:hAnsi="仿宋" w:eastAsia="仿宋" w:cs="仿宋"/>
        </w:rPr>
      </w:pPr>
      <w:r>
        <w:rPr>
          <w:rFonts w:hint="eastAsia" w:ascii="仿宋" w:hAnsi="仿宋" w:eastAsia="仿宋" w:cs="仿宋"/>
        </w:rPr>
        <w:t>16.3 响应无效的情形</w:t>
      </w:r>
    </w:p>
    <w:p>
      <w:pPr>
        <w:pStyle w:val="62"/>
        <w:spacing w:line="360" w:lineRule="auto"/>
        <w:ind w:firstLine="580"/>
        <w:rPr>
          <w:rFonts w:hint="eastAsia" w:ascii="仿宋" w:hAnsi="仿宋" w:eastAsia="仿宋" w:cs="仿宋"/>
        </w:rPr>
      </w:pPr>
      <w:r>
        <w:rPr>
          <w:rFonts w:hint="eastAsia" w:ascii="仿宋" w:hAnsi="仿宋" w:eastAsia="仿宋" w:cs="仿宋"/>
        </w:rPr>
        <w:t>实质上没有响应竞争性磋商文件要求的响应将被视为无效响应。供应商不得通过修正或撤消不合要求的偏离或保留从而使其成为实质上的响应，但经评审委员会认定属于供应商疏忽、笔误所造成的差错，应当允许其在评审结束之前进行修改或者补正（可以是复印件、传真件等，原件必须加盖单位公章）。修改或者补正响应文件必须以书面形式进行，并应在成交结果公告之前查核原件。限期内不补正或经补正后仍不符合竞争性磋商文件要求的，应认定其响应文件无效。供应商修改、补正响应文件后，不影响</w:t>
      </w:r>
      <w:r>
        <w:rPr>
          <w:rFonts w:hint="eastAsia" w:ascii="仿宋" w:hAnsi="仿宋" w:eastAsia="仿宋" w:cs="仿宋"/>
          <w:u w:val="wave"/>
        </w:rPr>
        <w:t>评审委员</w:t>
      </w:r>
      <w:r>
        <w:rPr>
          <w:rFonts w:hint="eastAsia" w:ascii="仿宋" w:hAnsi="仿宋" w:eastAsia="仿宋" w:cs="仿宋"/>
        </w:rPr>
        <w:t>会对其响应文件所作的评价和评分结果。</w:t>
      </w:r>
    </w:p>
    <w:p>
      <w:pPr>
        <w:pStyle w:val="62"/>
        <w:spacing w:line="360" w:lineRule="auto"/>
        <w:ind w:firstLine="580"/>
        <w:rPr>
          <w:rFonts w:hint="eastAsia" w:ascii="仿宋" w:hAnsi="仿宋" w:eastAsia="仿宋" w:cs="仿宋"/>
        </w:rPr>
      </w:pPr>
      <w:r>
        <w:rPr>
          <w:rFonts w:hint="eastAsia" w:ascii="仿宋" w:hAnsi="仿宋" w:eastAsia="仿宋" w:cs="仿宋"/>
        </w:rPr>
        <w:t>16.3.1.在符合性审查和资格评审时，如发现下列情形之一的，响应文件将被视为无效：</w:t>
      </w:r>
    </w:p>
    <w:p>
      <w:pPr>
        <w:pStyle w:val="62"/>
        <w:spacing w:line="360" w:lineRule="auto"/>
        <w:ind w:firstLine="580"/>
        <w:rPr>
          <w:rFonts w:hint="eastAsia" w:ascii="仿宋" w:hAnsi="仿宋" w:eastAsia="仿宋" w:cs="仿宋"/>
        </w:rPr>
      </w:pPr>
      <w:r>
        <w:rPr>
          <w:rFonts w:hint="eastAsia" w:ascii="仿宋" w:hAnsi="仿宋" w:eastAsia="仿宋" w:cs="仿宋"/>
        </w:rPr>
        <w:t>（1）超出经营范围参加采购活动的；</w:t>
      </w:r>
    </w:p>
    <w:p>
      <w:pPr>
        <w:pStyle w:val="62"/>
        <w:spacing w:line="360" w:lineRule="auto"/>
        <w:ind w:firstLine="580"/>
        <w:rPr>
          <w:rFonts w:hint="eastAsia" w:ascii="仿宋" w:hAnsi="仿宋" w:eastAsia="仿宋" w:cs="仿宋"/>
        </w:rPr>
      </w:pPr>
      <w:r>
        <w:rPr>
          <w:rFonts w:hint="eastAsia" w:ascii="仿宋" w:hAnsi="仿宋" w:eastAsia="仿宋" w:cs="仿宋"/>
        </w:rPr>
        <w:t>（2）资格证明文件不全的，或者不符合竞争性磋商文件标明的资格要求的</w:t>
      </w:r>
    </w:p>
    <w:p>
      <w:pPr>
        <w:pStyle w:val="62"/>
        <w:spacing w:line="360" w:lineRule="auto"/>
        <w:ind w:firstLine="580"/>
        <w:rPr>
          <w:rFonts w:hint="eastAsia" w:ascii="仿宋" w:hAnsi="仿宋" w:eastAsia="仿宋" w:cs="仿宋"/>
        </w:rPr>
      </w:pPr>
      <w:r>
        <w:rPr>
          <w:rFonts w:hint="eastAsia" w:ascii="仿宋" w:hAnsi="仿宋" w:eastAsia="仿宋" w:cs="仿宋"/>
        </w:rPr>
        <w:t>（3）响应文件无法定代表人签字,或未提供法定代表人授权委托书、声明书或者填写项目不齐全的；</w:t>
      </w:r>
    </w:p>
    <w:p>
      <w:pPr>
        <w:pStyle w:val="62"/>
        <w:spacing w:line="360" w:lineRule="auto"/>
        <w:ind w:firstLine="580"/>
        <w:rPr>
          <w:rFonts w:hint="eastAsia" w:ascii="仿宋" w:hAnsi="仿宋" w:eastAsia="仿宋" w:cs="仿宋"/>
        </w:rPr>
      </w:pPr>
      <w:r>
        <w:rPr>
          <w:rFonts w:hint="eastAsia" w:ascii="仿宋" w:hAnsi="仿宋" w:eastAsia="仿宋" w:cs="仿宋"/>
        </w:rPr>
        <w:t xml:space="preserve">（4）供应商授权代表人未能出具身份证明或与法定代表人授权委托人身份不符的； </w:t>
      </w:r>
    </w:p>
    <w:p>
      <w:pPr>
        <w:pStyle w:val="62"/>
        <w:spacing w:line="360" w:lineRule="auto"/>
        <w:ind w:firstLine="580"/>
        <w:rPr>
          <w:rFonts w:hint="eastAsia" w:ascii="仿宋" w:hAnsi="仿宋" w:eastAsia="仿宋" w:cs="仿宋"/>
        </w:rPr>
      </w:pPr>
      <w:r>
        <w:rPr>
          <w:rFonts w:hint="eastAsia" w:ascii="仿宋" w:hAnsi="仿宋" w:eastAsia="仿宋" w:cs="仿宋"/>
        </w:rPr>
        <w:t>（5）响应文件格式不规范、项目不齐全或者内容虚假的；</w:t>
      </w:r>
    </w:p>
    <w:p>
      <w:pPr>
        <w:pStyle w:val="62"/>
        <w:spacing w:line="360" w:lineRule="auto"/>
        <w:ind w:firstLine="580"/>
        <w:rPr>
          <w:rFonts w:hint="eastAsia" w:ascii="仿宋" w:hAnsi="仿宋" w:eastAsia="仿宋" w:cs="仿宋"/>
        </w:rPr>
      </w:pPr>
      <w:r>
        <w:rPr>
          <w:rFonts w:hint="eastAsia" w:ascii="仿宋" w:hAnsi="仿宋" w:eastAsia="仿宋" w:cs="仿宋"/>
        </w:rPr>
        <w:t>（6）响应文件的实质性内容未使用中文表述、意思表述不明确、前后矛盾或者使用计量单位不符合竞争性磋商文件要求的（经评审委员会认定并允许其当场更正的笔误除外）</w:t>
      </w:r>
    </w:p>
    <w:p>
      <w:pPr>
        <w:pStyle w:val="62"/>
        <w:spacing w:line="360" w:lineRule="auto"/>
        <w:ind w:firstLine="580"/>
        <w:rPr>
          <w:rFonts w:hint="eastAsia" w:ascii="仿宋" w:hAnsi="仿宋" w:eastAsia="仿宋" w:cs="仿宋"/>
        </w:rPr>
      </w:pPr>
      <w:r>
        <w:rPr>
          <w:rFonts w:hint="eastAsia" w:ascii="仿宋" w:hAnsi="仿宋" w:eastAsia="仿宋" w:cs="仿宋"/>
        </w:rPr>
        <w:t>（7）响应有效期、服务时间等商务条款不能满足竞争性磋商文件要求的；</w:t>
      </w:r>
    </w:p>
    <w:p>
      <w:pPr>
        <w:pStyle w:val="62"/>
        <w:spacing w:line="360" w:lineRule="auto"/>
        <w:ind w:firstLine="580"/>
        <w:rPr>
          <w:rFonts w:hint="eastAsia" w:ascii="仿宋" w:hAnsi="仿宋" w:eastAsia="仿宋" w:cs="仿宋"/>
        </w:rPr>
      </w:pPr>
      <w:r>
        <w:rPr>
          <w:rFonts w:hint="eastAsia" w:ascii="仿宋" w:hAnsi="仿宋" w:eastAsia="仿宋" w:cs="仿宋"/>
        </w:rPr>
        <w:t>（8）未实质性响应竞争性磋商文件要求或者响应文件有采购人不能接受的附加条件的；</w:t>
      </w:r>
    </w:p>
    <w:p>
      <w:pPr>
        <w:pStyle w:val="62"/>
        <w:spacing w:line="360" w:lineRule="auto"/>
        <w:ind w:firstLine="580"/>
        <w:rPr>
          <w:rFonts w:hint="eastAsia" w:ascii="仿宋" w:hAnsi="仿宋" w:eastAsia="仿宋" w:cs="仿宋"/>
        </w:rPr>
      </w:pPr>
      <w:r>
        <w:rPr>
          <w:rFonts w:hint="eastAsia" w:ascii="仿宋" w:hAnsi="仿宋" w:eastAsia="仿宋" w:cs="仿宋"/>
        </w:rPr>
        <w:t>16.3.2.在技术评审时，如发现下列情形之一的，响应文件将被视为无效：</w:t>
      </w:r>
    </w:p>
    <w:p>
      <w:pPr>
        <w:pStyle w:val="62"/>
        <w:spacing w:line="360" w:lineRule="auto"/>
        <w:ind w:firstLine="580"/>
        <w:rPr>
          <w:rFonts w:hint="eastAsia" w:ascii="仿宋" w:hAnsi="仿宋" w:eastAsia="仿宋" w:cs="仿宋"/>
        </w:rPr>
      </w:pPr>
      <w:r>
        <w:rPr>
          <w:rFonts w:hint="eastAsia" w:ascii="仿宋" w:hAnsi="仿宋" w:eastAsia="仿宋" w:cs="仿宋"/>
        </w:rPr>
        <w:t>（1）采购技术方案不明确，存在一个或一个以上备选（替代）方案的；</w:t>
      </w:r>
    </w:p>
    <w:p>
      <w:pPr>
        <w:pStyle w:val="62"/>
        <w:spacing w:line="360" w:lineRule="auto"/>
        <w:ind w:firstLine="580"/>
        <w:rPr>
          <w:rFonts w:hint="eastAsia" w:ascii="仿宋" w:hAnsi="仿宋" w:eastAsia="仿宋" w:cs="仿宋"/>
        </w:rPr>
      </w:pPr>
      <w:r>
        <w:rPr>
          <w:rFonts w:hint="eastAsia" w:ascii="仿宋" w:hAnsi="仿宋" w:eastAsia="仿宋" w:cs="仿宋"/>
        </w:rPr>
        <w:t>（2）与其他参加本次采购供应商的响应文件（技术文件）的文字表述内容相同连续20行以上或者差错相同2处以上的；</w:t>
      </w:r>
    </w:p>
    <w:p>
      <w:pPr>
        <w:pStyle w:val="62"/>
        <w:spacing w:line="360" w:lineRule="auto"/>
        <w:ind w:firstLine="580"/>
        <w:rPr>
          <w:rFonts w:hint="eastAsia" w:ascii="仿宋" w:hAnsi="仿宋" w:eastAsia="仿宋" w:cs="仿宋"/>
        </w:rPr>
      </w:pPr>
      <w:r>
        <w:rPr>
          <w:rFonts w:hint="eastAsia" w:ascii="仿宋" w:hAnsi="仿宋" w:eastAsia="仿宋" w:cs="仿宋"/>
        </w:rPr>
        <w:t>16.3.3.在报价评审时，如发现下列情形之一的，响应文件将被视为无效：</w:t>
      </w:r>
    </w:p>
    <w:p>
      <w:pPr>
        <w:pStyle w:val="62"/>
        <w:spacing w:line="360" w:lineRule="auto"/>
        <w:ind w:firstLine="580"/>
        <w:rPr>
          <w:rFonts w:hint="eastAsia" w:ascii="仿宋" w:hAnsi="仿宋" w:eastAsia="仿宋" w:cs="仿宋"/>
        </w:rPr>
      </w:pPr>
      <w:r>
        <w:rPr>
          <w:rFonts w:hint="eastAsia" w:ascii="仿宋" w:hAnsi="仿宋" w:eastAsia="仿宋" w:cs="仿宋"/>
        </w:rPr>
        <w:t>（1）未采用人民币报价或者未按照竞争性磋商文件标明的币种报价的；</w:t>
      </w:r>
    </w:p>
    <w:p>
      <w:pPr>
        <w:pStyle w:val="62"/>
        <w:spacing w:line="360" w:lineRule="auto"/>
        <w:ind w:firstLine="580"/>
        <w:rPr>
          <w:rFonts w:hint="eastAsia" w:ascii="仿宋" w:hAnsi="仿宋" w:eastAsia="仿宋" w:cs="仿宋"/>
        </w:rPr>
      </w:pPr>
      <w:r>
        <w:rPr>
          <w:rFonts w:hint="eastAsia" w:ascii="仿宋" w:hAnsi="仿宋" w:eastAsia="仿宋" w:cs="仿宋"/>
        </w:rPr>
        <w:t>（2）报价超出最高限价，或者超出采购预算金额(自主创新产品除外)，采购人不能支付的；</w:t>
      </w:r>
    </w:p>
    <w:p>
      <w:pPr>
        <w:pStyle w:val="62"/>
        <w:spacing w:line="360" w:lineRule="auto"/>
        <w:ind w:firstLine="580"/>
        <w:rPr>
          <w:rFonts w:hint="eastAsia" w:ascii="仿宋" w:hAnsi="仿宋" w:eastAsia="仿宋" w:cs="仿宋"/>
        </w:rPr>
      </w:pPr>
      <w:r>
        <w:rPr>
          <w:rFonts w:hint="eastAsia" w:ascii="仿宋" w:hAnsi="仿宋" w:eastAsia="仿宋" w:cs="仿宋"/>
        </w:rPr>
        <w:t>（3）响应报价具有选择性，或者响应价格与响应文件承诺的优惠（折扣）价格不一致的；</w:t>
      </w:r>
    </w:p>
    <w:p>
      <w:pPr>
        <w:pStyle w:val="62"/>
        <w:spacing w:line="360" w:lineRule="auto"/>
        <w:ind w:firstLine="580"/>
        <w:rPr>
          <w:rFonts w:hint="eastAsia" w:ascii="仿宋" w:hAnsi="仿宋" w:eastAsia="仿宋" w:cs="仿宋"/>
        </w:rPr>
      </w:pPr>
      <w:r>
        <w:rPr>
          <w:rFonts w:hint="eastAsia" w:ascii="仿宋" w:hAnsi="仿宋" w:eastAsia="仿宋" w:cs="仿宋"/>
        </w:rPr>
        <w:t xml:space="preserve">（4）响应报价明细表总额与响应一览表总价不一致，且高于总价5％的；   </w:t>
      </w:r>
    </w:p>
    <w:p>
      <w:pPr>
        <w:pStyle w:val="62"/>
        <w:spacing w:line="360" w:lineRule="auto"/>
        <w:ind w:firstLine="580"/>
        <w:rPr>
          <w:rFonts w:hint="eastAsia" w:ascii="仿宋" w:hAnsi="仿宋" w:eastAsia="仿宋" w:cs="仿宋"/>
        </w:rPr>
      </w:pPr>
      <w:r>
        <w:rPr>
          <w:rFonts w:hint="eastAsia" w:ascii="仿宋" w:hAnsi="仿宋" w:eastAsia="仿宋" w:cs="仿宋"/>
        </w:rPr>
        <w:t>16.3.4.被拒绝的响应文件为无效。</w:t>
      </w:r>
    </w:p>
    <w:p>
      <w:pPr>
        <w:pStyle w:val="4"/>
        <w:spacing w:line="360" w:lineRule="auto"/>
        <w:rPr>
          <w:rFonts w:hint="eastAsia" w:ascii="仿宋" w:hAnsi="仿宋" w:eastAsia="仿宋" w:cs="仿宋"/>
        </w:rPr>
      </w:pPr>
      <w:bookmarkStart w:id="105" w:name="_Toc344475815"/>
      <w:bookmarkStart w:id="106" w:name="_Toc44783873"/>
      <w:bookmarkStart w:id="107" w:name="_Toc471327964"/>
      <w:r>
        <w:rPr>
          <w:rFonts w:hint="eastAsia" w:ascii="仿宋" w:hAnsi="仿宋" w:eastAsia="仿宋" w:cs="仿宋"/>
        </w:rPr>
        <w:t>评审与磋商</w:t>
      </w:r>
      <w:bookmarkEnd w:id="105"/>
      <w:bookmarkEnd w:id="106"/>
      <w:bookmarkEnd w:id="107"/>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17</w:t>
      </w:r>
      <w:r>
        <w:rPr>
          <w:rFonts w:hint="eastAsia" w:ascii="仿宋" w:hAnsi="仿宋" w:eastAsia="仿宋" w:cs="仿宋"/>
        </w:rPr>
        <w:t>评审</w:t>
      </w:r>
    </w:p>
    <w:p>
      <w:pPr>
        <w:pStyle w:val="62"/>
        <w:spacing w:line="360" w:lineRule="auto"/>
        <w:ind w:firstLine="580"/>
        <w:rPr>
          <w:rFonts w:hint="eastAsia" w:ascii="仿宋" w:hAnsi="仿宋" w:eastAsia="仿宋" w:cs="仿宋"/>
        </w:rPr>
      </w:pPr>
      <w:r>
        <w:rPr>
          <w:rFonts w:hint="eastAsia" w:ascii="仿宋" w:hAnsi="仿宋" w:eastAsia="仿宋" w:cs="仿宋"/>
        </w:rPr>
        <w:t>17.1竞争性磋商小组</w:t>
      </w:r>
    </w:p>
    <w:p>
      <w:pPr>
        <w:pStyle w:val="62"/>
        <w:spacing w:line="360" w:lineRule="auto"/>
        <w:ind w:firstLine="580"/>
        <w:rPr>
          <w:rFonts w:hint="eastAsia" w:ascii="仿宋" w:hAnsi="仿宋" w:eastAsia="仿宋" w:cs="仿宋"/>
        </w:rPr>
      </w:pPr>
      <w:r>
        <w:rPr>
          <w:rFonts w:hint="eastAsia" w:ascii="仿宋" w:hAnsi="仿宋" w:eastAsia="仿宋" w:cs="仿宋"/>
        </w:rPr>
        <w:t>17.1.1采购代理机构组建竞争性磋商小组。</w:t>
      </w:r>
    </w:p>
    <w:p>
      <w:pPr>
        <w:pStyle w:val="62"/>
        <w:spacing w:line="360" w:lineRule="auto"/>
        <w:ind w:firstLine="580"/>
        <w:rPr>
          <w:rFonts w:hint="eastAsia" w:ascii="仿宋" w:hAnsi="仿宋" w:eastAsia="仿宋" w:cs="仿宋"/>
        </w:rPr>
      </w:pPr>
      <w:r>
        <w:rPr>
          <w:rFonts w:hint="eastAsia" w:ascii="仿宋" w:hAnsi="仿宋" w:eastAsia="仿宋" w:cs="仿宋"/>
        </w:rPr>
        <w:t>17.1.2竞争性磋商小组由采购人代表、有关经济及技术等方面的专家组成。</w:t>
      </w:r>
    </w:p>
    <w:p>
      <w:pPr>
        <w:pStyle w:val="62"/>
        <w:spacing w:line="360" w:lineRule="auto"/>
        <w:ind w:firstLine="580"/>
        <w:rPr>
          <w:rFonts w:hint="eastAsia" w:ascii="仿宋" w:hAnsi="仿宋" w:eastAsia="仿宋" w:cs="仿宋"/>
        </w:rPr>
      </w:pPr>
      <w:r>
        <w:rPr>
          <w:rFonts w:hint="eastAsia" w:ascii="仿宋" w:hAnsi="仿宋" w:eastAsia="仿宋" w:cs="仿宋"/>
        </w:rPr>
        <w:t>17.1.3竞争性磋商小组负责磋商文件评审工作，对磋商文件进行审查和评估，并向采购人提交书面评审报告。</w:t>
      </w:r>
    </w:p>
    <w:p>
      <w:pPr>
        <w:pStyle w:val="62"/>
        <w:spacing w:line="360" w:lineRule="auto"/>
        <w:ind w:firstLine="580"/>
        <w:rPr>
          <w:rFonts w:hint="eastAsia" w:ascii="仿宋" w:hAnsi="仿宋" w:eastAsia="仿宋" w:cs="仿宋"/>
        </w:rPr>
      </w:pPr>
      <w:r>
        <w:rPr>
          <w:rFonts w:hint="eastAsia" w:ascii="仿宋" w:hAnsi="仿宋" w:eastAsia="仿宋" w:cs="仿宋"/>
        </w:rPr>
        <w:t>公开报价与磋商</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18</w:t>
      </w:r>
      <w:r>
        <w:rPr>
          <w:rFonts w:hint="eastAsia" w:ascii="仿宋" w:hAnsi="仿宋" w:eastAsia="仿宋" w:cs="仿宋"/>
        </w:rPr>
        <w:t>磋商小组</w:t>
      </w:r>
    </w:p>
    <w:p>
      <w:pPr>
        <w:pStyle w:val="62"/>
        <w:spacing w:line="360" w:lineRule="auto"/>
        <w:ind w:firstLine="580"/>
        <w:rPr>
          <w:rFonts w:hint="eastAsia" w:ascii="仿宋" w:hAnsi="仿宋" w:eastAsia="仿宋" w:cs="仿宋"/>
        </w:rPr>
      </w:pPr>
      <w:r>
        <w:rPr>
          <w:rFonts w:hint="eastAsia" w:ascii="仿宋" w:hAnsi="仿宋" w:eastAsia="仿宋" w:cs="仿宋"/>
        </w:rPr>
        <w:t>采购代理机构将根据本项目的特点组建磋商小组，其成员由采购人及有关方面的专家等三人以上单数组成，其中经济、技术等方面的专家不得少于成员总数的三分之二，磋商小组负责对响应文件进行评审，采购人授权磋商小组按照综合评分由高到低推荐前三成交供应商为成交候选人。</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19</w:t>
      </w:r>
      <w:r>
        <w:rPr>
          <w:rFonts w:hint="eastAsia" w:ascii="仿宋" w:hAnsi="仿宋" w:eastAsia="仿宋" w:cs="仿宋"/>
        </w:rPr>
        <w:t>磋商原则</w:t>
      </w:r>
    </w:p>
    <w:p>
      <w:pPr>
        <w:pStyle w:val="62"/>
        <w:spacing w:line="360" w:lineRule="auto"/>
        <w:ind w:firstLine="580"/>
        <w:rPr>
          <w:rFonts w:hint="eastAsia" w:ascii="仿宋" w:hAnsi="仿宋" w:eastAsia="仿宋" w:cs="仿宋"/>
        </w:rPr>
      </w:pPr>
      <w:r>
        <w:rPr>
          <w:rFonts w:hint="eastAsia" w:ascii="仿宋" w:hAnsi="仿宋" w:eastAsia="仿宋" w:cs="仿宋"/>
        </w:rPr>
        <w:t>19.1统一性原则：磋商小组将按照统一的磋商原则和磋商方法，用同一标准进行评审。</w:t>
      </w:r>
    </w:p>
    <w:p>
      <w:pPr>
        <w:pStyle w:val="62"/>
        <w:spacing w:line="360" w:lineRule="auto"/>
        <w:ind w:firstLine="580"/>
        <w:rPr>
          <w:rFonts w:hint="eastAsia" w:ascii="仿宋" w:hAnsi="仿宋" w:eastAsia="仿宋" w:cs="仿宋"/>
        </w:rPr>
      </w:pPr>
      <w:r>
        <w:rPr>
          <w:rFonts w:hint="eastAsia" w:ascii="仿宋" w:hAnsi="仿宋" w:eastAsia="仿宋" w:cs="仿宋"/>
        </w:rPr>
        <w:t>19.2独立性原则：磋商工作在磋商小组内部独立进行，不受外界任何因素的干扰和影响。磋商小组成员对出具的评审意见承担个人责任。</w:t>
      </w:r>
    </w:p>
    <w:p>
      <w:pPr>
        <w:pStyle w:val="62"/>
        <w:spacing w:line="360" w:lineRule="auto"/>
        <w:ind w:firstLine="580"/>
        <w:rPr>
          <w:rFonts w:hint="eastAsia" w:ascii="仿宋" w:hAnsi="仿宋" w:eastAsia="仿宋" w:cs="仿宋"/>
        </w:rPr>
      </w:pPr>
      <w:r>
        <w:rPr>
          <w:rFonts w:hint="eastAsia" w:ascii="仿宋" w:hAnsi="仿宋" w:eastAsia="仿宋" w:cs="仿宋"/>
        </w:rPr>
        <w:t>19.3物有所值原则：通过第一轮的公开报价，激发供应商展开竞争，进一步优化方案，并使报价符合预期目标。</w:t>
      </w:r>
    </w:p>
    <w:p>
      <w:pPr>
        <w:pStyle w:val="62"/>
        <w:spacing w:line="360" w:lineRule="auto"/>
        <w:ind w:firstLine="580"/>
        <w:rPr>
          <w:rFonts w:hint="eastAsia" w:ascii="仿宋" w:hAnsi="仿宋" w:eastAsia="仿宋" w:cs="仿宋"/>
        </w:rPr>
      </w:pPr>
      <w:r>
        <w:rPr>
          <w:rFonts w:hint="eastAsia" w:ascii="仿宋" w:hAnsi="仿宋" w:eastAsia="仿宋" w:cs="仿宋"/>
        </w:rPr>
        <w:t>19.4保密性原则：采购代理机构应当采取必要的措施，保证磋商在严格保密的情况下进行。</w:t>
      </w:r>
    </w:p>
    <w:p>
      <w:pPr>
        <w:pStyle w:val="62"/>
        <w:spacing w:line="360" w:lineRule="auto"/>
        <w:ind w:firstLine="580"/>
        <w:rPr>
          <w:rFonts w:hint="eastAsia" w:ascii="仿宋" w:hAnsi="仿宋" w:eastAsia="仿宋" w:cs="仿宋"/>
        </w:rPr>
      </w:pPr>
      <w:r>
        <w:rPr>
          <w:rFonts w:hint="eastAsia" w:ascii="仿宋" w:hAnsi="仿宋" w:eastAsia="仿宋" w:cs="仿宋"/>
        </w:rPr>
        <w:t>19.5综合性原则：磋商小组将综合分析、评审供应商的各项指标，而不以单项指标的优劣评定出成交供应商。</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20</w:t>
      </w:r>
      <w:r>
        <w:rPr>
          <w:rFonts w:hint="eastAsia" w:ascii="仿宋" w:hAnsi="仿宋" w:eastAsia="仿宋" w:cs="仿宋"/>
        </w:rPr>
        <w:t>响应文件的初审</w:t>
      </w:r>
    </w:p>
    <w:p>
      <w:pPr>
        <w:pStyle w:val="62"/>
        <w:spacing w:line="360" w:lineRule="auto"/>
        <w:ind w:firstLine="580"/>
        <w:rPr>
          <w:rFonts w:hint="eastAsia" w:ascii="仿宋" w:hAnsi="仿宋" w:eastAsia="仿宋" w:cs="仿宋"/>
        </w:rPr>
      </w:pPr>
      <w:r>
        <w:rPr>
          <w:rFonts w:hint="eastAsia" w:ascii="仿宋" w:hAnsi="仿宋" w:eastAsia="仿宋" w:cs="仿宋"/>
        </w:rPr>
        <w:t>20.1竞争性磋商小组将审查磋商文件是否完整、资格证明文件是否齐全，有无计算上的错误等。</w:t>
      </w:r>
    </w:p>
    <w:p>
      <w:pPr>
        <w:pStyle w:val="62"/>
        <w:spacing w:line="360" w:lineRule="auto"/>
        <w:ind w:firstLine="580"/>
        <w:rPr>
          <w:rFonts w:hint="eastAsia" w:ascii="仿宋" w:hAnsi="仿宋" w:eastAsia="仿宋" w:cs="仿宋"/>
        </w:rPr>
      </w:pPr>
      <w:r>
        <w:rPr>
          <w:rFonts w:hint="eastAsia" w:ascii="仿宋" w:hAnsi="仿宋" w:eastAsia="仿宋" w:cs="仿宋"/>
        </w:rPr>
        <w:t>20.2算术错误将按以下方法更正：若单价计算的结果与总价不一致，以单价为准修改总价；若用文字表示的数值与用数字表示的数值不一致，以文字表示的数值为准。如果供应商不接受对其错误的更正，其响应文件将被拒绝。</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.3初步审查，以下项目中有一条不符合要求的，其响应文件将被拒绝：</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.3.1没有按照竞争性磋商文件要求提供的响应文件；</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 xml:space="preserve">.3.2营业执照、税务登记证、组织机构代码证是无效的； </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.3.3响应文件无供应商单位公章、无法定代表人签字，或签字人无法定代表人有效的授权委托书的；</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.3.4资格标准不满足磋商文件要求的；</w:t>
      </w:r>
    </w:p>
    <w:p>
      <w:pPr>
        <w:pStyle w:val="62"/>
        <w:spacing w:line="360" w:lineRule="auto"/>
        <w:ind w:firstLine="580"/>
        <w:rPr>
          <w:rFonts w:hint="eastAsia" w:ascii="仿宋" w:hAnsi="仿宋" w:eastAsia="仿宋" w:cs="仿宋"/>
          <w:szCs w:val="24"/>
        </w:rPr>
      </w:pPr>
      <w:r>
        <w:rPr>
          <w:rFonts w:hint="eastAsia" w:ascii="仿宋" w:hAnsi="仿宋" w:eastAsia="仿宋" w:cs="仿宋"/>
        </w:rPr>
        <w:t>20</w:t>
      </w:r>
      <w:r>
        <w:rPr>
          <w:rFonts w:hint="eastAsia" w:ascii="仿宋" w:hAnsi="仿宋" w:eastAsia="仿宋" w:cs="仿宋"/>
          <w:szCs w:val="24"/>
        </w:rPr>
        <w:t>.3.5磋商报价不符合最高限价要求的；</w:t>
      </w:r>
    </w:p>
    <w:p>
      <w:pPr>
        <w:pStyle w:val="62"/>
        <w:spacing w:line="360" w:lineRule="auto"/>
        <w:ind w:firstLine="580"/>
        <w:rPr>
          <w:rFonts w:hint="eastAsia" w:ascii="仿宋" w:hAnsi="仿宋" w:eastAsia="仿宋" w:cs="仿宋"/>
          <w:bCs/>
          <w:szCs w:val="24"/>
        </w:rPr>
      </w:pPr>
      <w:r>
        <w:rPr>
          <w:rFonts w:hint="eastAsia" w:ascii="仿宋" w:hAnsi="仿宋" w:eastAsia="仿宋" w:cs="仿宋"/>
        </w:rPr>
        <w:t>20</w:t>
      </w:r>
      <w:r>
        <w:rPr>
          <w:rFonts w:hint="eastAsia" w:ascii="仿宋" w:hAnsi="仿宋" w:eastAsia="仿宋" w:cs="仿宋"/>
          <w:szCs w:val="24"/>
        </w:rPr>
        <w:t>.3.6技术参数低于竞争性磋商文件要求</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响应文件的详细评审</w:t>
      </w:r>
    </w:p>
    <w:p>
      <w:pPr>
        <w:pStyle w:val="62"/>
        <w:spacing w:line="360" w:lineRule="auto"/>
        <w:ind w:firstLine="580"/>
        <w:rPr>
          <w:rFonts w:hint="eastAsia" w:ascii="仿宋" w:hAnsi="仿宋" w:eastAsia="仿宋" w:cs="仿宋"/>
        </w:rPr>
      </w:pPr>
      <w:r>
        <w:rPr>
          <w:rFonts w:hint="eastAsia" w:ascii="仿宋" w:hAnsi="仿宋" w:eastAsia="仿宋" w:cs="仿宋"/>
        </w:rPr>
        <w:t>21.1 竞争性磋商小组将只对通过初步审查的响应文件进行详细评审。</w:t>
      </w:r>
    </w:p>
    <w:p>
      <w:pPr>
        <w:pStyle w:val="62"/>
        <w:spacing w:line="360" w:lineRule="auto"/>
        <w:ind w:firstLine="580"/>
        <w:rPr>
          <w:rFonts w:hint="eastAsia" w:ascii="仿宋" w:hAnsi="仿宋" w:eastAsia="仿宋" w:cs="仿宋"/>
        </w:rPr>
      </w:pPr>
      <w:r>
        <w:rPr>
          <w:rFonts w:hint="eastAsia" w:ascii="仿宋" w:hAnsi="仿宋" w:eastAsia="仿宋" w:cs="仿宋"/>
        </w:rPr>
        <w:t>21.2 详细评审即以响应文件为依据，对所有实质上响应的磋商文件进行全方面比选。</w:t>
      </w:r>
    </w:p>
    <w:p>
      <w:pPr>
        <w:pStyle w:val="2"/>
        <w:numPr>
          <w:ilvl w:val="0"/>
          <w:numId w:val="0"/>
        </w:numPr>
        <w:spacing w:after="143" w:line="360" w:lineRule="auto"/>
        <w:ind w:left="284" w:leftChars="0"/>
        <w:rPr>
          <w:rFonts w:hint="eastAsia" w:ascii="仿宋" w:hAnsi="仿宋" w:eastAsia="仿宋" w:cs="仿宋"/>
        </w:rPr>
      </w:pPr>
      <w:bookmarkStart w:id="108" w:name="_Toc493330491"/>
      <w:bookmarkStart w:id="109" w:name="_Toc471327965"/>
      <w:bookmarkStart w:id="110" w:name="_Toc21846"/>
      <w:bookmarkStart w:id="111" w:name="_Toc493331403"/>
      <w:r>
        <w:rPr>
          <w:rFonts w:hint="eastAsia" w:ascii="仿宋" w:hAnsi="仿宋" w:eastAsia="仿宋" w:cs="仿宋"/>
          <w:lang w:val="en-US" w:eastAsia="zh-CN"/>
        </w:rPr>
        <w:t>22</w:t>
      </w:r>
      <w:r>
        <w:rPr>
          <w:rFonts w:hint="eastAsia" w:ascii="仿宋" w:hAnsi="仿宋" w:eastAsia="仿宋" w:cs="仿宋"/>
        </w:rPr>
        <w:t>综合评审</w:t>
      </w:r>
      <w:bookmarkEnd w:id="108"/>
      <w:bookmarkEnd w:id="109"/>
      <w:bookmarkEnd w:id="110"/>
      <w:bookmarkEnd w:id="111"/>
    </w:p>
    <w:p>
      <w:pPr>
        <w:pStyle w:val="62"/>
        <w:spacing w:line="360" w:lineRule="auto"/>
        <w:ind w:firstLine="580"/>
        <w:rPr>
          <w:rFonts w:hint="eastAsia" w:ascii="仿宋" w:hAnsi="仿宋" w:eastAsia="仿宋" w:cs="仿宋"/>
        </w:rPr>
      </w:pPr>
      <w:r>
        <w:rPr>
          <w:rFonts w:hint="eastAsia" w:ascii="仿宋" w:hAnsi="仿宋" w:eastAsia="仿宋" w:cs="仿宋"/>
          <w:bCs/>
        </w:rPr>
        <w:t>22.1</w:t>
      </w:r>
      <w:r>
        <w:rPr>
          <w:rFonts w:hint="eastAsia" w:ascii="仿宋" w:hAnsi="仿宋" w:eastAsia="仿宋" w:cs="仿宋"/>
        </w:rPr>
        <w:t>磋商小组对响应文件进行评价和比较。</w:t>
      </w:r>
    </w:p>
    <w:p>
      <w:pPr>
        <w:pStyle w:val="62"/>
        <w:spacing w:line="360" w:lineRule="auto"/>
        <w:ind w:firstLine="580"/>
        <w:rPr>
          <w:rFonts w:hint="eastAsia" w:ascii="仿宋" w:hAnsi="仿宋" w:eastAsia="仿宋" w:cs="仿宋"/>
        </w:rPr>
      </w:pPr>
      <w:r>
        <w:rPr>
          <w:rFonts w:hint="eastAsia" w:ascii="仿宋" w:hAnsi="仿宋" w:eastAsia="仿宋" w:cs="仿宋"/>
        </w:rPr>
        <w:t>22.2评审方法：</w:t>
      </w:r>
    </w:p>
    <w:p>
      <w:pPr>
        <w:pStyle w:val="62"/>
        <w:spacing w:line="360" w:lineRule="auto"/>
        <w:ind w:firstLine="580"/>
        <w:rPr>
          <w:rFonts w:hint="eastAsia" w:ascii="仿宋" w:hAnsi="仿宋" w:eastAsia="仿宋" w:cs="仿宋"/>
        </w:rPr>
      </w:pPr>
      <w:r>
        <w:rPr>
          <w:rFonts w:hint="eastAsia" w:ascii="仿宋" w:hAnsi="仿宋" w:eastAsia="仿宋" w:cs="仿宋"/>
        </w:rPr>
        <w:t>本次评审采用综合评分法。每一供应商的最终得分为所有磋商小组成员的算术平均值，得分由高到低顺序排列，确定排名第一名的为成交供应商。得分相同的，报价较低的一方排序靠前，得分且报价相同的，服务方案较优的一方排序靠前。</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23</w:t>
      </w:r>
      <w:r>
        <w:rPr>
          <w:rFonts w:hint="eastAsia" w:ascii="仿宋" w:hAnsi="仿宋" w:eastAsia="仿宋" w:cs="仿宋"/>
        </w:rPr>
        <w:t>评分细则</w:t>
      </w:r>
    </w:p>
    <w:p>
      <w:pPr>
        <w:pStyle w:val="62"/>
        <w:spacing w:line="360" w:lineRule="auto"/>
        <w:ind w:firstLine="580"/>
        <w:rPr>
          <w:rFonts w:hint="eastAsia" w:ascii="仿宋" w:hAnsi="仿宋" w:eastAsia="仿宋" w:cs="仿宋"/>
        </w:rPr>
      </w:pPr>
      <w:r>
        <w:rPr>
          <w:rFonts w:hint="eastAsia" w:ascii="仿宋" w:hAnsi="仿宋" w:eastAsia="仿宋" w:cs="仿宋"/>
        </w:rPr>
        <w:t>23.1评分标准及办法</w:t>
      </w:r>
    </w:p>
    <w:p>
      <w:pPr>
        <w:spacing w:line="360" w:lineRule="auto"/>
        <w:jc w:val="center"/>
        <w:rPr>
          <w:rFonts w:hint="eastAsia" w:ascii="仿宋" w:hAnsi="仿宋" w:eastAsia="仿宋" w:cs="仿宋"/>
          <w:b/>
          <w:bCs/>
          <w:sz w:val="28"/>
          <w:szCs w:val="24"/>
        </w:rPr>
      </w:pPr>
      <w:r>
        <w:rPr>
          <w:rFonts w:hint="eastAsia" w:ascii="仿宋" w:hAnsi="仿宋" w:eastAsia="仿宋" w:cs="仿宋"/>
          <w:b/>
          <w:bCs/>
          <w:sz w:val="28"/>
          <w:szCs w:val="24"/>
        </w:rPr>
        <w:t>评分标准及办法</w:t>
      </w:r>
    </w:p>
    <w:tbl>
      <w:tblPr>
        <w:tblStyle w:val="143"/>
        <w:tblW w:w="847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51"/>
        <w:gridCol w:w="951"/>
        <w:gridCol w:w="612"/>
        <w:gridCol w:w="5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bookmarkStart w:id="112" w:name="_Hlk129765717"/>
            <w:r>
              <w:rPr>
                <w:rFonts w:hint="eastAsia" w:ascii="仿宋" w:hAnsi="仿宋" w:eastAsia="仿宋" w:cs="仿宋"/>
                <w:color w:val="auto"/>
                <w:sz w:val="21"/>
                <w:szCs w:val="21"/>
              </w:rPr>
              <w:t>序号</w:t>
            </w:r>
          </w:p>
        </w:tc>
        <w:tc>
          <w:tcPr>
            <w:tcW w:w="1902" w:type="dxa"/>
            <w:gridSpan w:val="2"/>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评分因素及权重</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分</w:t>
            </w:r>
          </w:p>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值</w:t>
            </w:r>
          </w:p>
        </w:tc>
        <w:tc>
          <w:tcPr>
            <w:tcW w:w="536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1902" w:type="dxa"/>
            <w:gridSpan w:val="2"/>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报价</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分</w:t>
            </w:r>
          </w:p>
        </w:tc>
        <w:tc>
          <w:tcPr>
            <w:tcW w:w="5362" w:type="dxa"/>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1.价格得分统一采用低价优先法计算，即满足</w:t>
            </w:r>
            <w:r>
              <w:rPr>
                <w:rFonts w:hint="eastAsia" w:ascii="仿宋" w:hAnsi="仿宋" w:eastAsia="仿宋" w:cs="仿宋"/>
                <w:color w:val="auto"/>
                <w:kern w:val="0"/>
                <w:sz w:val="21"/>
                <w:szCs w:val="21"/>
                <w:lang w:eastAsia="zh-CN"/>
              </w:rPr>
              <w:t>磋商文件</w:t>
            </w:r>
            <w:r>
              <w:rPr>
                <w:rFonts w:hint="eastAsia" w:ascii="仿宋" w:hAnsi="仿宋" w:eastAsia="仿宋" w:cs="仿宋"/>
                <w:color w:val="auto"/>
                <w:kern w:val="0"/>
                <w:sz w:val="21"/>
                <w:szCs w:val="21"/>
              </w:rPr>
              <w:t>要求且</w:t>
            </w:r>
            <w:r>
              <w:rPr>
                <w:rFonts w:hint="eastAsia" w:ascii="仿宋" w:hAnsi="仿宋" w:eastAsia="仿宋" w:cs="仿宋"/>
                <w:color w:val="auto"/>
                <w:kern w:val="0"/>
                <w:sz w:val="21"/>
                <w:szCs w:val="21"/>
                <w:lang w:val="en-US" w:eastAsia="zh-CN"/>
              </w:rPr>
              <w:t>响应报价</w:t>
            </w:r>
            <w:r>
              <w:rPr>
                <w:rFonts w:hint="eastAsia" w:ascii="仿宋" w:hAnsi="仿宋" w:eastAsia="仿宋" w:cs="仿宋"/>
                <w:color w:val="auto"/>
                <w:kern w:val="0"/>
                <w:sz w:val="21"/>
                <w:szCs w:val="21"/>
              </w:rPr>
              <w:t>最低的报价为评标基准价，其价格分为满分</w:t>
            </w:r>
            <w:r>
              <w:rPr>
                <w:rFonts w:hint="eastAsia" w:ascii="仿宋" w:hAnsi="仿宋" w:eastAsia="仿宋" w:cs="仿宋"/>
                <w:color w:val="auto"/>
                <w:kern w:val="0"/>
                <w:sz w:val="21"/>
                <w:szCs w:val="21"/>
                <w:lang w:val="en-US" w:eastAsia="zh-CN"/>
              </w:rPr>
              <w:t>10</w:t>
            </w:r>
            <w:r>
              <w:rPr>
                <w:rFonts w:hint="eastAsia" w:ascii="仿宋" w:hAnsi="仿宋" w:eastAsia="仿宋" w:cs="仿宋"/>
                <w:color w:val="auto"/>
                <w:kern w:val="0"/>
                <w:sz w:val="21"/>
                <w:szCs w:val="21"/>
              </w:rPr>
              <w:t>分。其他</w:t>
            </w:r>
            <w:r>
              <w:rPr>
                <w:rFonts w:hint="eastAsia" w:ascii="仿宋" w:hAnsi="仿宋" w:eastAsia="仿宋" w:cs="仿宋"/>
                <w:color w:val="auto"/>
                <w:kern w:val="0"/>
                <w:sz w:val="21"/>
                <w:szCs w:val="21"/>
                <w:lang w:eastAsia="zh-CN"/>
              </w:rPr>
              <w:t>供应商</w:t>
            </w:r>
            <w:r>
              <w:rPr>
                <w:rFonts w:hint="eastAsia" w:ascii="仿宋" w:hAnsi="仿宋" w:eastAsia="仿宋" w:cs="仿宋"/>
                <w:color w:val="auto"/>
                <w:kern w:val="0"/>
                <w:sz w:val="21"/>
                <w:szCs w:val="21"/>
              </w:rPr>
              <w:t xml:space="preserve">的价格分统一按照下列公式计算： </w:t>
            </w:r>
            <w:r>
              <w:rPr>
                <w:rFonts w:hint="eastAsia" w:ascii="仿宋" w:hAnsi="仿宋" w:eastAsia="仿宋" w:cs="仿宋"/>
                <w:color w:val="auto"/>
                <w:kern w:val="0"/>
                <w:sz w:val="21"/>
                <w:szCs w:val="21"/>
                <w:lang w:val="en-US" w:eastAsia="zh-CN"/>
              </w:rPr>
              <w:t>响应</w:t>
            </w:r>
            <w:r>
              <w:rPr>
                <w:rFonts w:hint="eastAsia" w:ascii="仿宋" w:hAnsi="仿宋" w:eastAsia="仿宋" w:cs="仿宋"/>
                <w:color w:val="auto"/>
                <w:kern w:val="0"/>
                <w:sz w:val="21"/>
                <w:szCs w:val="21"/>
              </w:rPr>
              <w:t>报价得分=(评标基准价／</w:t>
            </w:r>
            <w:r>
              <w:rPr>
                <w:rFonts w:hint="eastAsia" w:ascii="仿宋" w:hAnsi="仿宋" w:eastAsia="仿宋" w:cs="仿宋"/>
                <w:color w:val="auto"/>
                <w:kern w:val="0"/>
                <w:sz w:val="21"/>
                <w:szCs w:val="21"/>
                <w:lang w:val="en-US" w:eastAsia="zh-CN"/>
              </w:rPr>
              <w:t>响应</w:t>
            </w:r>
            <w:r>
              <w:rPr>
                <w:rFonts w:hint="eastAsia" w:ascii="仿宋" w:hAnsi="仿宋" w:eastAsia="仿宋" w:cs="仿宋"/>
                <w:color w:val="auto"/>
                <w:kern w:val="0"/>
                <w:sz w:val="21"/>
                <w:szCs w:val="21"/>
              </w:rPr>
              <w:t>报价)×</w:t>
            </w:r>
            <w:r>
              <w:rPr>
                <w:rFonts w:hint="eastAsia" w:ascii="仿宋" w:hAnsi="仿宋" w:eastAsia="仿宋" w:cs="仿宋"/>
                <w:color w:val="auto"/>
                <w:kern w:val="0"/>
                <w:sz w:val="21"/>
                <w:szCs w:val="21"/>
                <w:lang w:val="en-US" w:eastAsia="zh-CN"/>
              </w:rPr>
              <w:t>10</w:t>
            </w:r>
            <w:r>
              <w:rPr>
                <w:rFonts w:hint="eastAsia" w:ascii="仿宋" w:hAnsi="仿宋" w:eastAsia="仿宋" w:cs="仿宋"/>
                <w:color w:val="auto"/>
                <w:kern w:val="0"/>
                <w:sz w:val="21"/>
                <w:szCs w:val="21"/>
              </w:rPr>
              <w:t>。</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2.本次采购执行小微企业、含监狱企业、残疾人福利性单位加分政策：给予价格10%的扣除，计算方法：评审价格＝</w:t>
            </w:r>
            <w:r>
              <w:rPr>
                <w:rFonts w:hint="eastAsia" w:ascii="仿宋" w:hAnsi="仿宋" w:eastAsia="仿宋" w:cs="仿宋"/>
                <w:color w:val="auto"/>
                <w:kern w:val="0"/>
                <w:sz w:val="21"/>
                <w:szCs w:val="21"/>
                <w:lang w:val="en-US" w:eastAsia="zh-CN"/>
              </w:rPr>
              <w:t>响应</w:t>
            </w:r>
            <w:r>
              <w:rPr>
                <w:rFonts w:hint="eastAsia" w:ascii="仿宋" w:hAnsi="仿宋" w:eastAsia="仿宋" w:cs="仿宋"/>
                <w:color w:val="auto"/>
                <w:kern w:val="0"/>
                <w:sz w:val="21"/>
                <w:szCs w:val="21"/>
              </w:rPr>
              <w:t xml:space="preserve">报价×90%，按照评审价格计算其价格分得分。 </w:t>
            </w:r>
          </w:p>
          <w:p>
            <w:pPr>
              <w:keepNext w:val="0"/>
              <w:keepLines w:val="0"/>
              <w:widowControl w:val="0"/>
              <w:suppressLineNumbers w:val="0"/>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kern w:val="0"/>
                <w:sz w:val="21"/>
                <w:szCs w:val="21"/>
              </w:rPr>
              <w:t>3.</w:t>
            </w:r>
            <w:r>
              <w:rPr>
                <w:rFonts w:hint="eastAsia" w:ascii="仿宋" w:hAnsi="仿宋" w:eastAsia="仿宋" w:cs="仿宋"/>
                <w:color w:val="auto"/>
                <w:kern w:val="0"/>
                <w:sz w:val="21"/>
                <w:szCs w:val="21"/>
                <w:lang w:eastAsia="zh-CN"/>
              </w:rPr>
              <w:t>供应商</w:t>
            </w:r>
            <w:r>
              <w:rPr>
                <w:rFonts w:hint="eastAsia" w:ascii="仿宋" w:hAnsi="仿宋" w:eastAsia="仿宋" w:cs="仿宋"/>
                <w:color w:val="auto"/>
                <w:kern w:val="0"/>
                <w:sz w:val="21"/>
                <w:szCs w:val="21"/>
              </w:rPr>
              <w:t>须提供企业《中小企业声明函》原件，开标时，</w:t>
            </w:r>
            <w:r>
              <w:rPr>
                <w:rFonts w:hint="eastAsia" w:ascii="仿宋" w:hAnsi="仿宋" w:eastAsia="仿宋" w:cs="仿宋"/>
                <w:color w:val="auto"/>
                <w:kern w:val="0"/>
                <w:sz w:val="21"/>
                <w:szCs w:val="21"/>
                <w:lang w:eastAsia="zh-CN"/>
              </w:rPr>
              <w:t>供应商</w:t>
            </w:r>
            <w:r>
              <w:rPr>
                <w:rFonts w:hint="eastAsia" w:ascii="仿宋" w:hAnsi="仿宋" w:eastAsia="仿宋" w:cs="仿宋"/>
                <w:color w:val="auto"/>
                <w:kern w:val="0"/>
                <w:sz w:val="21"/>
                <w:szCs w:val="21"/>
              </w:rPr>
              <w:t>未提供或未按照《政府采购促进中小企业发展管理办法》（财库[202</w:t>
            </w:r>
            <w:r>
              <w:rPr>
                <w:rFonts w:hint="eastAsia" w:ascii="仿宋" w:hAnsi="仿宋" w:eastAsia="仿宋" w:cs="仿宋"/>
                <w:color w:val="auto"/>
                <w:kern w:val="0"/>
                <w:sz w:val="21"/>
                <w:szCs w:val="21"/>
                <w:lang w:val="en-US" w:eastAsia="zh-CN"/>
              </w:rPr>
              <w:t>0</w:t>
            </w:r>
            <w:r>
              <w:rPr>
                <w:rFonts w:hint="eastAsia" w:ascii="仿宋" w:hAnsi="仿宋" w:eastAsia="仿宋" w:cs="仿宋"/>
                <w:color w:val="auto"/>
                <w:kern w:val="0"/>
                <w:sz w:val="21"/>
                <w:szCs w:val="21"/>
              </w:rPr>
              <w:t>]46号）</w:t>
            </w:r>
            <w:r>
              <w:rPr>
                <w:rFonts w:hint="eastAsia" w:ascii="仿宋" w:hAnsi="仿宋" w:eastAsia="仿宋" w:cs="仿宋"/>
                <w:color w:val="auto"/>
                <w:kern w:val="0"/>
                <w:sz w:val="21"/>
                <w:szCs w:val="21"/>
                <w:lang w:val="en-US" w:eastAsia="zh-CN"/>
              </w:rPr>
              <w:t>和《关于进一步加大政府采购支持中小企业力度的通知》（财库〔2022〕19号）</w:t>
            </w:r>
            <w:r>
              <w:rPr>
                <w:rFonts w:hint="eastAsia" w:ascii="仿宋" w:hAnsi="仿宋" w:eastAsia="仿宋" w:cs="仿宋"/>
                <w:color w:val="auto"/>
                <w:kern w:val="0"/>
                <w:sz w:val="21"/>
                <w:szCs w:val="21"/>
              </w:rPr>
              <w:t>要求提供《中小企业声明函》的，在评标过程中不予认可，</w:t>
            </w:r>
            <w:r>
              <w:rPr>
                <w:rFonts w:hint="eastAsia" w:ascii="仿宋" w:hAnsi="仿宋" w:eastAsia="仿宋" w:cs="仿宋"/>
                <w:color w:val="auto"/>
                <w:kern w:val="0"/>
                <w:sz w:val="21"/>
                <w:szCs w:val="21"/>
                <w:lang w:eastAsia="zh-CN"/>
              </w:rPr>
              <w:t>供应商</w:t>
            </w:r>
            <w:r>
              <w:rPr>
                <w:rFonts w:hint="eastAsia" w:ascii="仿宋" w:hAnsi="仿宋" w:eastAsia="仿宋" w:cs="仿宋"/>
                <w:color w:val="auto"/>
                <w:kern w:val="0"/>
                <w:sz w:val="21"/>
                <w:szCs w:val="21"/>
              </w:rPr>
              <w:t>所投产品为大型或中型企业制造的不适用扣除后的价格计算报价得分。监狱、残疾人企业参照上述办法进行价格扣除。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restart"/>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951" w:type="dxa"/>
            <w:vMerge w:val="restart"/>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技术服务方案评分标准</w:t>
            </w: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故障响应服务方案</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10分</w:t>
            </w:r>
          </w:p>
        </w:tc>
        <w:tc>
          <w:tcPr>
            <w:tcW w:w="5362" w:type="dxa"/>
          </w:tcPr>
          <w:p>
            <w:pPr>
              <w:keepNext w:val="0"/>
              <w:keepLines w:val="0"/>
              <w:widowControl/>
              <w:suppressLineNumbers w:val="0"/>
              <w:spacing w:before="0" w:beforeAutospacing="0" w:after="0" w:afterAutospacing="0" w:line="240" w:lineRule="auto"/>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根据各供应商提供的故障响应服务方案进行综合评分，包括：①故障分级处理方案；②地区分区处理方案；③电话远程处理方案；④现场处理方案；⑤故障报告及总结。</w:t>
            </w:r>
          </w:p>
          <w:p>
            <w:pPr>
              <w:keepNext w:val="0"/>
              <w:keepLines w:val="0"/>
              <w:widowControl/>
              <w:suppressLineNumbers w:val="0"/>
              <w:spacing w:before="0" w:beforeAutospacing="0" w:after="0" w:afterAutospacing="0" w:line="240" w:lineRule="auto"/>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提供以上任意1项得</w:t>
            </w:r>
            <w:r>
              <w:rPr>
                <w:rStyle w:val="123"/>
                <w:rFonts w:hint="eastAsia" w:ascii="仿宋" w:hAnsi="仿宋" w:eastAsia="仿宋" w:cs="仿宋"/>
                <w:color w:val="auto"/>
                <w:sz w:val="21"/>
                <w:szCs w:val="21"/>
                <w:lang w:val="en-US" w:eastAsia="zh-CN"/>
              </w:rPr>
              <w:t>2</w:t>
            </w:r>
            <w:r>
              <w:rPr>
                <w:rStyle w:val="123"/>
                <w:rFonts w:hint="eastAsia" w:ascii="仿宋" w:hAnsi="仿宋" w:eastAsia="仿宋" w:cs="仿宋"/>
                <w:color w:val="auto"/>
                <w:sz w:val="21"/>
                <w:szCs w:val="21"/>
                <w:lang w:eastAsia="zh-CN"/>
              </w:rPr>
              <w:t>分，每项内容有1处错误或漏洞的扣1分，扣完为止。</w:t>
            </w:r>
          </w:p>
          <w:p>
            <w:pPr>
              <w:keepNext w:val="0"/>
              <w:keepLines w:val="0"/>
              <w:widowControl/>
              <w:suppressLineNumbers w:val="0"/>
              <w:spacing w:before="0" w:beforeAutospacing="0" w:after="0" w:afterAutospacing="0" w:line="240" w:lineRule="auto"/>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注：“错误”为：违反国家地区法律法规；与基础科学原理或客观常识不符；不符合国家或行业技术标准；关键时效指标与磋商文件要求不符。</w:t>
            </w:r>
          </w:p>
          <w:p>
            <w:pPr>
              <w:pStyle w:val="2"/>
              <w:widowControl w:val="0"/>
              <w:numPr>
                <w:ilvl w:val="0"/>
                <w:numId w:val="0"/>
              </w:numPr>
              <w:suppressLineNumbers w:val="0"/>
              <w:spacing w:before="0" w:beforeAutospacing="0" w:afterAutospacing="0" w:line="240" w:lineRule="auto"/>
              <w:ind w:left="0" w:right="0"/>
              <w:rPr>
                <w:rFonts w:hint="eastAsia"/>
                <w:color w:val="auto"/>
                <w:sz w:val="21"/>
                <w:szCs w:val="21"/>
              </w:rPr>
            </w:pPr>
            <w:r>
              <w:rPr>
                <w:rStyle w:val="123"/>
                <w:rFonts w:hint="eastAsia" w:ascii="仿宋" w:hAnsi="仿宋" w:eastAsia="仿宋" w:cs="仿宋"/>
                <w:color w:val="auto"/>
                <w:sz w:val="21"/>
                <w:szCs w:val="21"/>
                <w:lang w:eastAsia="zh-CN"/>
              </w:rPr>
              <w:t>“漏洞”为：方案中出现其它项目名称地点单位；不适用本项目特点；存在安全隐患；举证材料不充分。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备品备件服务方案</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16</w:t>
            </w:r>
            <w:r>
              <w:rPr>
                <w:rFonts w:hint="eastAsia" w:ascii="仿宋" w:hAnsi="仿宋" w:eastAsia="仿宋" w:cs="仿宋"/>
                <w:color w:val="auto"/>
                <w:sz w:val="21"/>
                <w:szCs w:val="21"/>
              </w:rPr>
              <w:t>分</w:t>
            </w:r>
          </w:p>
        </w:tc>
        <w:tc>
          <w:tcPr>
            <w:tcW w:w="5362" w:type="dxa"/>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根据供应商提供的备品备件服务方案进行综合评分，包含：①备品备件计划预备方案；②备品备件质量保障方案；③各地区供应方案；④关键易损品备品备件管理方案。</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提供以上任意1项得</w:t>
            </w:r>
            <w:r>
              <w:rPr>
                <w:rStyle w:val="123"/>
                <w:rFonts w:hint="eastAsia" w:ascii="仿宋" w:hAnsi="仿宋" w:eastAsia="仿宋" w:cs="仿宋"/>
                <w:color w:val="auto"/>
                <w:sz w:val="21"/>
                <w:szCs w:val="21"/>
                <w:lang w:val="en-US" w:eastAsia="zh-CN"/>
              </w:rPr>
              <w:t>4</w:t>
            </w:r>
            <w:r>
              <w:rPr>
                <w:rStyle w:val="123"/>
                <w:rFonts w:hint="eastAsia" w:ascii="仿宋" w:hAnsi="仿宋" w:eastAsia="仿宋" w:cs="仿宋"/>
                <w:color w:val="auto"/>
                <w:sz w:val="21"/>
                <w:szCs w:val="21"/>
                <w:lang w:eastAsia="zh-CN"/>
              </w:rPr>
              <w:t>分，每项内容有1处错误或漏洞的扣1分，扣完为止。</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注：“错误”为：违反国家地区法律法规；与基础科学原理或客观常识不符；不符合国家或行业技术标准；关键时效指标与磋商文件要求不符。</w:t>
            </w:r>
          </w:p>
          <w:p>
            <w:pPr>
              <w:keepNext w:val="0"/>
              <w:keepLines w:val="0"/>
              <w:widowControl w:val="0"/>
              <w:suppressLineNumbers w:val="0"/>
              <w:autoSpaceDE w:val="0"/>
              <w:autoSpaceDN w:val="0"/>
              <w:snapToGrid/>
              <w:spacing w:before="0" w:beforeAutospacing="0" w:after="0" w:afterAutospacing="0"/>
              <w:ind w:left="0" w:right="0"/>
              <w:jc w:val="both"/>
              <w:rPr>
                <w:rFonts w:hint="eastAsia" w:ascii="仿宋" w:hAnsi="仿宋" w:eastAsia="仿宋" w:cs="仿宋"/>
                <w:color w:val="auto"/>
                <w:sz w:val="21"/>
                <w:szCs w:val="21"/>
              </w:rPr>
            </w:pPr>
            <w:r>
              <w:rPr>
                <w:rStyle w:val="123"/>
                <w:rFonts w:hint="eastAsia" w:ascii="仿宋" w:hAnsi="仿宋" w:eastAsia="仿宋" w:cs="仿宋"/>
                <w:color w:val="auto"/>
                <w:sz w:val="21"/>
                <w:szCs w:val="21"/>
                <w:lang w:eastAsia="zh-CN"/>
              </w:rPr>
              <w:t>“漏洞”为：方案中出现其它项目名称地点单位；不适用本项目特点；存在安全隐患；举证材料不充分。</w:t>
            </w:r>
            <w:r>
              <w:rPr>
                <w:rFonts w:hint="eastAsia" w:ascii="仿宋" w:hAnsi="仿宋" w:eastAsia="仿宋" w:cs="仿宋"/>
                <w:color w:val="auto"/>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巡检服务方案</w:t>
            </w:r>
          </w:p>
        </w:tc>
        <w:tc>
          <w:tcPr>
            <w:tcW w:w="612" w:type="dxa"/>
            <w:vAlign w:val="center"/>
          </w:tcPr>
          <w:p>
            <w:pPr>
              <w:keepNext w:val="0"/>
              <w:keepLines w:val="0"/>
              <w:widowControl w:val="0"/>
              <w:suppressLineNumbers w:val="0"/>
              <w:tabs>
                <w:tab w:val="left" w:pos="728"/>
              </w:tabs>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8</w:t>
            </w:r>
            <w:r>
              <w:rPr>
                <w:rFonts w:hint="eastAsia" w:ascii="仿宋" w:hAnsi="仿宋" w:eastAsia="仿宋" w:cs="仿宋"/>
                <w:color w:val="auto"/>
                <w:sz w:val="21"/>
                <w:szCs w:val="21"/>
              </w:rPr>
              <w:t>分</w:t>
            </w:r>
          </w:p>
        </w:tc>
        <w:tc>
          <w:tcPr>
            <w:tcW w:w="5362" w:type="dxa"/>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根据各供应商提供的巡检服务方案进行综合评分，包括：①巡检计划；②巡检故障处理方案。</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提供以上任意1项得</w:t>
            </w:r>
            <w:r>
              <w:rPr>
                <w:rStyle w:val="123"/>
                <w:rFonts w:hint="eastAsia" w:ascii="仿宋" w:hAnsi="仿宋" w:eastAsia="仿宋" w:cs="仿宋"/>
                <w:color w:val="auto"/>
                <w:sz w:val="21"/>
                <w:szCs w:val="21"/>
                <w:lang w:val="en-US" w:eastAsia="zh-CN"/>
              </w:rPr>
              <w:t>4</w:t>
            </w:r>
            <w:r>
              <w:rPr>
                <w:rStyle w:val="123"/>
                <w:rFonts w:hint="eastAsia" w:ascii="仿宋" w:hAnsi="仿宋" w:eastAsia="仿宋" w:cs="仿宋"/>
                <w:color w:val="auto"/>
                <w:sz w:val="21"/>
                <w:szCs w:val="21"/>
                <w:lang w:eastAsia="zh-CN"/>
              </w:rPr>
              <w:t>分，每项内容有1处错误或漏洞的扣1分，扣完为止。</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注：“错误”为：违反国家地区法律法规；与基础科学原理或客观常识不符；不符合国家或行业技术标准；关键时效指标与磋商文件要求不符。</w:t>
            </w:r>
          </w:p>
          <w:p>
            <w:pPr>
              <w:keepNext w:val="0"/>
              <w:keepLines w:val="0"/>
              <w:widowControl w:val="0"/>
              <w:suppressLineNumbers w:val="0"/>
              <w:tabs>
                <w:tab w:val="left" w:pos="728"/>
              </w:tabs>
              <w:adjustRightInd/>
              <w:snapToGrid/>
              <w:spacing w:before="0" w:beforeAutospacing="0" w:after="0" w:afterAutospacing="0"/>
              <w:ind w:left="0" w:right="0"/>
              <w:jc w:val="both"/>
              <w:rPr>
                <w:rFonts w:hint="eastAsia" w:ascii="仿宋" w:hAnsi="仿宋" w:eastAsia="仿宋" w:cs="仿宋"/>
                <w:color w:val="auto"/>
                <w:sz w:val="21"/>
                <w:szCs w:val="21"/>
              </w:rPr>
            </w:pPr>
            <w:r>
              <w:rPr>
                <w:rStyle w:val="123"/>
                <w:rFonts w:hint="eastAsia" w:ascii="仿宋" w:hAnsi="仿宋" w:eastAsia="仿宋" w:cs="仿宋"/>
                <w:color w:val="auto"/>
                <w:sz w:val="21"/>
                <w:szCs w:val="21"/>
                <w:lang w:eastAsia="zh-CN"/>
              </w:rPr>
              <w:t>“漏洞”为：方案中出现其它项目名称地点单位；不适用本项目特点；存在安全隐患；举证材料不充分。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驻场服务方案</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12</w:t>
            </w:r>
            <w:r>
              <w:rPr>
                <w:rFonts w:hint="eastAsia" w:ascii="仿宋" w:hAnsi="仿宋" w:eastAsia="仿宋" w:cs="仿宋"/>
                <w:color w:val="auto"/>
                <w:sz w:val="21"/>
                <w:szCs w:val="21"/>
              </w:rPr>
              <w:t>分</w:t>
            </w:r>
          </w:p>
        </w:tc>
        <w:tc>
          <w:tcPr>
            <w:tcW w:w="5362" w:type="dxa"/>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根据各供应商提供的驻场服务方案进行综合评分，包括：①驻场人员建议考核制度；②常规服务方案；③资产管理方案；④资料整理制度或方案。</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提供以上任意1项得</w:t>
            </w:r>
            <w:r>
              <w:rPr>
                <w:rStyle w:val="123"/>
                <w:rFonts w:hint="eastAsia" w:ascii="仿宋" w:hAnsi="仿宋" w:eastAsia="仿宋" w:cs="仿宋"/>
                <w:color w:val="auto"/>
                <w:sz w:val="21"/>
                <w:szCs w:val="21"/>
                <w:lang w:val="en-US" w:eastAsia="zh-CN"/>
              </w:rPr>
              <w:t>3</w:t>
            </w:r>
            <w:r>
              <w:rPr>
                <w:rStyle w:val="123"/>
                <w:rFonts w:hint="eastAsia" w:ascii="仿宋" w:hAnsi="仿宋" w:eastAsia="仿宋" w:cs="仿宋"/>
                <w:color w:val="auto"/>
                <w:sz w:val="21"/>
                <w:szCs w:val="21"/>
                <w:lang w:eastAsia="zh-CN"/>
              </w:rPr>
              <w:t>分，每项内容有1处错误或漏洞的扣1分，扣完为止。</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注：“错误”为：违反国家地区法律法规；与基础科学原理或客观常识不符；不符合国家或行业技术标准；关键时效指标与磋商文件要求不符。</w:t>
            </w:r>
          </w:p>
          <w:p>
            <w:pPr>
              <w:keepNext w:val="0"/>
              <w:keepLines w:val="0"/>
              <w:widowControl w:val="0"/>
              <w:suppressLineNumbers w:val="0"/>
              <w:adjustRightInd/>
              <w:snapToGrid/>
              <w:spacing w:before="0" w:beforeAutospacing="0" w:after="0" w:afterAutospacing="0"/>
              <w:ind w:left="0" w:right="0"/>
              <w:jc w:val="both"/>
              <w:rPr>
                <w:rFonts w:hint="eastAsia" w:ascii="仿宋" w:hAnsi="仿宋" w:eastAsia="仿宋" w:cs="仿宋"/>
                <w:color w:val="auto"/>
                <w:sz w:val="21"/>
                <w:szCs w:val="21"/>
              </w:rPr>
            </w:pPr>
            <w:r>
              <w:rPr>
                <w:rStyle w:val="123"/>
                <w:rFonts w:hint="eastAsia" w:ascii="仿宋" w:hAnsi="仿宋" w:eastAsia="仿宋" w:cs="仿宋"/>
                <w:color w:val="auto"/>
                <w:sz w:val="21"/>
                <w:szCs w:val="21"/>
                <w:lang w:eastAsia="zh-CN"/>
              </w:rPr>
              <w:t>“漏洞”为：方案中出现其它项目名称地点单位；不适用本项目特点；存在安全隐患；举证材料不充分。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应急响应方案</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4分</w:t>
            </w:r>
          </w:p>
        </w:tc>
        <w:tc>
          <w:tcPr>
            <w:tcW w:w="5362" w:type="dxa"/>
          </w:tcPr>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供应商根据本项目的采购需求提供应急响应方案，</w:t>
            </w:r>
            <w:r>
              <w:rPr>
                <w:rFonts w:hint="eastAsia" w:ascii="仿宋" w:hAnsi="仿宋" w:eastAsia="仿宋" w:cs="仿宋"/>
                <w:color w:val="auto"/>
                <w:kern w:val="0"/>
                <w:sz w:val="21"/>
                <w:szCs w:val="21"/>
                <w:lang w:val="en-US" w:eastAsia="zh-CN"/>
              </w:rPr>
              <w:t>方案中出现</w:t>
            </w:r>
            <w:r>
              <w:rPr>
                <w:rStyle w:val="123"/>
                <w:rFonts w:hint="eastAsia" w:ascii="仿宋" w:hAnsi="仿宋" w:eastAsia="仿宋" w:cs="仿宋"/>
                <w:color w:val="auto"/>
                <w:sz w:val="21"/>
                <w:szCs w:val="21"/>
                <w:lang w:eastAsia="zh-CN"/>
              </w:rPr>
              <w:t>1处错误或漏洞的扣1分，扣完为止。</w:t>
            </w:r>
          </w:p>
          <w:p>
            <w:pPr>
              <w:keepNext w:val="0"/>
              <w:keepLines w:val="0"/>
              <w:widowControl/>
              <w:suppressLineNumbers w:val="0"/>
              <w:spacing w:before="0" w:beforeAutospacing="0" w:after="0" w:afterAutospacing="0"/>
              <w:ind w:left="0" w:right="0"/>
              <w:jc w:val="left"/>
              <w:textAlignment w:val="center"/>
              <w:rPr>
                <w:rStyle w:val="123"/>
                <w:rFonts w:hint="eastAsia" w:ascii="仿宋" w:hAnsi="仿宋" w:eastAsia="仿宋" w:cs="仿宋"/>
                <w:color w:val="auto"/>
                <w:sz w:val="21"/>
                <w:szCs w:val="21"/>
                <w:lang w:eastAsia="zh-CN"/>
              </w:rPr>
            </w:pPr>
            <w:r>
              <w:rPr>
                <w:rStyle w:val="123"/>
                <w:rFonts w:hint="eastAsia" w:ascii="仿宋" w:hAnsi="仿宋" w:eastAsia="仿宋" w:cs="仿宋"/>
                <w:color w:val="auto"/>
                <w:sz w:val="21"/>
                <w:szCs w:val="21"/>
                <w:lang w:eastAsia="zh-CN"/>
              </w:rPr>
              <w:t>注：“错误”为：违反国家地区法律法规；与基础科学原理或客观常识不符；不符合国家或行业技术标准；关键时效指标与磋商文件要求不符。</w:t>
            </w:r>
          </w:p>
          <w:p>
            <w:pPr>
              <w:keepNext w:val="0"/>
              <w:keepLines w:val="0"/>
              <w:widowControl w:val="0"/>
              <w:suppressLineNumbers w:val="0"/>
              <w:adjustRightInd/>
              <w:snapToGrid/>
              <w:spacing w:before="0" w:beforeAutospacing="0" w:after="0" w:afterAutospacing="0"/>
              <w:ind w:left="0" w:right="0"/>
              <w:jc w:val="both"/>
              <w:rPr>
                <w:rFonts w:hint="default" w:ascii="仿宋" w:hAnsi="仿宋" w:eastAsia="仿宋" w:cs="仿宋"/>
                <w:color w:val="auto"/>
                <w:sz w:val="21"/>
                <w:szCs w:val="21"/>
                <w:lang w:val="en-US" w:eastAsia="zh-CN"/>
              </w:rPr>
            </w:pPr>
            <w:r>
              <w:rPr>
                <w:rStyle w:val="123"/>
                <w:rFonts w:hint="eastAsia" w:ascii="仿宋" w:hAnsi="仿宋" w:eastAsia="仿宋" w:cs="仿宋"/>
                <w:color w:val="auto"/>
                <w:sz w:val="21"/>
                <w:szCs w:val="21"/>
                <w:lang w:eastAsia="zh-CN"/>
              </w:rPr>
              <w:t>“漏洞”为：方案中出现其它项目名称地点单位；不适用本项目特点；存在安全隐患；举证材料不充分。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restart"/>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951" w:type="dxa"/>
            <w:vMerge w:val="restart"/>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商务部分评分标准</w:t>
            </w: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业绩证明</w:t>
            </w:r>
          </w:p>
        </w:tc>
        <w:tc>
          <w:tcPr>
            <w:tcW w:w="612" w:type="dxa"/>
            <w:vAlign w:val="center"/>
          </w:tcPr>
          <w:p>
            <w:pPr>
              <w:keepNext w:val="0"/>
              <w:keepLines w:val="0"/>
              <w:widowControl w:val="0"/>
              <w:suppressLineNumbers w:val="0"/>
              <w:tabs>
                <w:tab w:val="left" w:pos="803"/>
              </w:tabs>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14分</w:t>
            </w:r>
          </w:p>
        </w:tc>
        <w:tc>
          <w:tcPr>
            <w:tcW w:w="5362" w:type="dxa"/>
          </w:tcPr>
          <w:p>
            <w:pPr>
              <w:keepNext w:val="0"/>
              <w:keepLines w:val="0"/>
              <w:widowControl w:val="0"/>
              <w:suppressLineNumbers w:val="0"/>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具有近三年（2020 年1月1日以来）参与有类似项目的经历的业绩。每提供一份得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分，最多得</w:t>
            </w:r>
            <w:r>
              <w:rPr>
                <w:rFonts w:hint="eastAsia" w:ascii="仿宋" w:hAnsi="仿宋" w:eastAsia="仿宋" w:cs="仿宋"/>
                <w:color w:val="auto"/>
                <w:sz w:val="21"/>
                <w:szCs w:val="21"/>
                <w:lang w:val="en-US" w:eastAsia="zh-CN"/>
              </w:rPr>
              <w:t>14</w:t>
            </w:r>
            <w:r>
              <w:rPr>
                <w:rFonts w:hint="eastAsia" w:ascii="仿宋" w:hAnsi="仿宋" w:eastAsia="仿宋" w:cs="仿宋"/>
                <w:color w:val="auto"/>
                <w:sz w:val="21"/>
                <w:szCs w:val="21"/>
              </w:rPr>
              <w:t>分，不提供不得分。</w:t>
            </w:r>
            <w:r>
              <w:rPr>
                <w:rFonts w:hint="eastAsia" w:ascii="仿宋" w:hAnsi="仿宋" w:eastAsia="仿宋" w:cs="仿宋"/>
                <w:color w:val="auto"/>
                <w:kern w:val="0"/>
                <w:sz w:val="21"/>
                <w:szCs w:val="21"/>
              </w:rPr>
              <w:t>注：证明文件需提供清晰的</w:t>
            </w:r>
            <w:r>
              <w:rPr>
                <w:rFonts w:hint="eastAsia" w:ascii="仿宋" w:hAnsi="仿宋" w:eastAsia="仿宋" w:cs="仿宋"/>
                <w:color w:val="auto"/>
                <w:kern w:val="0"/>
                <w:sz w:val="21"/>
                <w:szCs w:val="21"/>
                <w:lang w:val="en-US" w:eastAsia="zh-CN"/>
              </w:rPr>
              <w:t>合同发票及</w:t>
            </w:r>
            <w:r>
              <w:rPr>
                <w:rFonts w:hint="eastAsia" w:ascii="仿宋" w:hAnsi="仿宋" w:eastAsia="仿宋" w:cs="仿宋"/>
                <w:color w:val="auto"/>
                <w:kern w:val="0"/>
                <w:sz w:val="21"/>
                <w:szCs w:val="21"/>
              </w:rPr>
              <w:t>合同关键页（含合同首尾页、合同金额页、签字盖章页）或中标通知书复印件加盖公章，不提供或提供材料不全不计分。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项目组成员</w:t>
            </w:r>
          </w:p>
        </w:tc>
        <w:tc>
          <w:tcPr>
            <w:tcW w:w="612" w:type="dxa"/>
            <w:vAlign w:val="center"/>
          </w:tcPr>
          <w:p>
            <w:pPr>
              <w:keepNext w:val="0"/>
              <w:keepLines w:val="0"/>
              <w:widowControl w:val="0"/>
              <w:suppressLineNumbers w:val="0"/>
              <w:tabs>
                <w:tab w:val="left" w:pos="803"/>
              </w:tabs>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7</w:t>
            </w:r>
            <w:r>
              <w:rPr>
                <w:rFonts w:hint="eastAsia" w:ascii="仿宋" w:hAnsi="仿宋" w:eastAsia="仿宋" w:cs="仿宋"/>
                <w:color w:val="auto"/>
                <w:sz w:val="21"/>
                <w:szCs w:val="21"/>
              </w:rPr>
              <w:t>分</w:t>
            </w:r>
          </w:p>
        </w:tc>
        <w:tc>
          <w:tcPr>
            <w:tcW w:w="5362" w:type="dxa"/>
          </w:tcPr>
          <w:p>
            <w:pPr>
              <w:keepNext w:val="0"/>
              <w:keepLines w:val="0"/>
              <w:widowControl w:val="0"/>
              <w:suppressLineNumbers w:val="0"/>
              <w:tabs>
                <w:tab w:val="left" w:pos="803"/>
              </w:tabs>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1、项目经理：项目经理每承担过1 个类似项目，得2 分,最高得6 分，提供合同复印件或业主证明材料复印件，以能够证明为该项目经理的材料为准。不提供不得分。</w:t>
            </w:r>
          </w:p>
          <w:p>
            <w:pPr>
              <w:keepNext w:val="0"/>
              <w:keepLines w:val="0"/>
              <w:widowControl w:val="0"/>
              <w:suppressLineNumbers w:val="0"/>
              <w:tabs>
                <w:tab w:val="left" w:pos="803"/>
              </w:tabs>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、固定驻场人员：</w:t>
            </w:r>
          </w:p>
          <w:p>
            <w:pPr>
              <w:pStyle w:val="2"/>
              <w:widowControl w:val="0"/>
              <w:numPr>
                <w:ilvl w:val="0"/>
                <w:numId w:val="0"/>
              </w:numPr>
              <w:suppressLineNumbers w:val="0"/>
              <w:spacing w:before="0" w:beforeAutospacing="0" w:afterAutospacing="0"/>
              <w:ind w:left="0" w:right="0"/>
              <w:rPr>
                <w:rFonts w:hint="default" w:eastAsia="仿宋"/>
                <w:color w:val="auto"/>
                <w:sz w:val="21"/>
                <w:szCs w:val="21"/>
                <w:lang w:val="en-US" w:eastAsia="zh-CN"/>
              </w:rPr>
            </w:pPr>
            <w:r>
              <w:rPr>
                <w:rFonts w:hint="eastAsia" w:ascii="仿宋" w:hAnsi="仿宋" w:cs="仿宋"/>
                <w:color w:val="auto"/>
                <w:sz w:val="21"/>
                <w:szCs w:val="21"/>
                <w:lang w:eastAsia="zh-CN"/>
              </w:rPr>
              <w:t>（</w:t>
            </w:r>
            <w:r>
              <w:rPr>
                <w:rFonts w:hint="eastAsia" w:ascii="仿宋" w:hAnsi="仿宋" w:cs="仿宋"/>
                <w:color w:val="auto"/>
                <w:sz w:val="21"/>
                <w:szCs w:val="21"/>
                <w:lang w:val="en-US" w:eastAsia="zh-CN"/>
              </w:rPr>
              <w:t>1</w:t>
            </w:r>
            <w:r>
              <w:rPr>
                <w:rFonts w:hint="eastAsia" w:ascii="仿宋" w:hAnsi="仿宋" w:cs="仿宋"/>
                <w:color w:val="auto"/>
                <w:sz w:val="21"/>
                <w:szCs w:val="21"/>
                <w:lang w:eastAsia="zh-CN"/>
              </w:rPr>
              <w:t>）</w:t>
            </w:r>
            <w:r>
              <w:rPr>
                <w:rFonts w:hint="eastAsia" w:ascii="仿宋" w:hAnsi="仿宋" w:cs="仿宋"/>
                <w:color w:val="auto"/>
                <w:sz w:val="21"/>
                <w:szCs w:val="21"/>
                <w:lang w:val="en-US" w:eastAsia="zh-CN"/>
              </w:rPr>
              <w:t>技术负责人：技术负责</w:t>
            </w:r>
            <w:r>
              <w:rPr>
                <w:rFonts w:hint="eastAsia" w:ascii="仿宋" w:hAnsi="仿宋" w:eastAsia="仿宋" w:cs="仿宋"/>
                <w:color w:val="auto"/>
                <w:sz w:val="21"/>
                <w:szCs w:val="21"/>
              </w:rPr>
              <w:t>每承担过1 个类似项目，得2 分,最高得</w:t>
            </w:r>
            <w:r>
              <w:rPr>
                <w:rFonts w:hint="eastAsia" w:ascii="仿宋" w:hAnsi="仿宋" w:cs="仿宋"/>
                <w:color w:val="auto"/>
                <w:sz w:val="21"/>
                <w:szCs w:val="21"/>
                <w:lang w:val="en-US" w:eastAsia="zh-CN"/>
              </w:rPr>
              <w:t>6</w:t>
            </w:r>
            <w:r>
              <w:rPr>
                <w:rFonts w:hint="eastAsia" w:ascii="仿宋" w:hAnsi="仿宋" w:eastAsia="仿宋" w:cs="仿宋"/>
                <w:color w:val="auto"/>
                <w:sz w:val="21"/>
                <w:szCs w:val="21"/>
              </w:rPr>
              <w:t>分，提供合同复印件或业主证明材料复印件，以能够证明为该项目</w:t>
            </w:r>
            <w:r>
              <w:rPr>
                <w:rFonts w:hint="eastAsia" w:ascii="仿宋" w:hAnsi="仿宋" w:cs="仿宋"/>
                <w:color w:val="auto"/>
                <w:sz w:val="21"/>
                <w:szCs w:val="21"/>
                <w:lang w:val="en-US" w:eastAsia="zh-CN"/>
              </w:rPr>
              <w:t>技术负责人</w:t>
            </w:r>
            <w:r>
              <w:rPr>
                <w:rFonts w:hint="eastAsia" w:ascii="仿宋" w:hAnsi="仿宋" w:eastAsia="仿宋" w:cs="仿宋"/>
                <w:color w:val="auto"/>
                <w:sz w:val="21"/>
                <w:szCs w:val="21"/>
              </w:rPr>
              <w:t>的材料为准。不提供不得分。</w:t>
            </w:r>
          </w:p>
          <w:p>
            <w:pPr>
              <w:keepNext w:val="0"/>
              <w:keepLines w:val="0"/>
              <w:widowControl w:val="0"/>
              <w:suppressLineNumbers w:val="0"/>
              <w:tabs>
                <w:tab w:val="left" w:pos="803"/>
              </w:tabs>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）供应商拟投入本项目派驻的固定驻场技术人员中，每有一人参与过至少一次类似项目（技术服务、任务保障或巡检报告）的得1 分，最多得</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分，没有不得分。提供合同复印件或业主证明材料复印件，以能够证明固定驻场技术人员参加过类似项目的材料为准。不提供不得分；</w:t>
            </w:r>
          </w:p>
          <w:p>
            <w:pPr>
              <w:keepNext w:val="0"/>
              <w:keepLines w:val="0"/>
              <w:widowControl w:val="0"/>
              <w:suppressLineNumbers w:val="0"/>
              <w:tabs>
                <w:tab w:val="left" w:pos="803"/>
              </w:tabs>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w:t>
            </w:r>
            <w:r>
              <w:rPr>
                <w:rFonts w:hint="eastAsia" w:ascii="仿宋" w:hAnsi="仿宋" w:eastAsia="仿宋" w:cs="仿宋"/>
                <w:bCs/>
                <w:color w:val="auto"/>
                <w:sz w:val="21"/>
                <w:szCs w:val="21"/>
              </w:rPr>
              <w:t>每有一名驻场人员具有</w:t>
            </w:r>
            <w:r>
              <w:rPr>
                <w:rFonts w:hint="eastAsia" w:ascii="仿宋" w:hAnsi="仿宋" w:eastAsia="仿宋" w:cs="仿宋"/>
                <w:bCs/>
                <w:color w:val="auto"/>
                <w:sz w:val="21"/>
                <w:szCs w:val="21"/>
                <w:lang w:val="en-US" w:eastAsia="zh-CN"/>
              </w:rPr>
              <w:t>电子信息工程或通信工程类</w:t>
            </w:r>
            <w:r>
              <w:rPr>
                <w:rFonts w:hint="eastAsia" w:ascii="仿宋" w:hAnsi="仿宋" w:eastAsia="仿宋" w:cs="仿宋"/>
                <w:bCs/>
                <w:color w:val="auto"/>
                <w:sz w:val="21"/>
                <w:szCs w:val="21"/>
              </w:rPr>
              <w:t>技术证书的加1分，最多2分</w:t>
            </w:r>
            <w:r>
              <w:rPr>
                <w:rFonts w:hint="eastAsia" w:ascii="仿宋" w:hAnsi="仿宋" w:eastAsia="仿宋" w:cs="仿宋"/>
                <w:color w:val="auto"/>
                <w:sz w:val="21"/>
                <w:szCs w:val="21"/>
              </w:rPr>
              <w:t>。</w:t>
            </w:r>
          </w:p>
          <w:p>
            <w:pPr>
              <w:keepNext w:val="0"/>
              <w:keepLines w:val="0"/>
              <w:widowControl w:val="0"/>
              <w:suppressLineNumbers w:val="0"/>
              <w:tabs>
                <w:tab w:val="left" w:pos="803"/>
              </w:tabs>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注：项目经理与驻场人员不重复计分。以上人员均需提供劳动合同并加盖公章，未提供以上全部证明材料视为无效人员，不得分。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服务要求响应</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3分</w:t>
            </w:r>
          </w:p>
        </w:tc>
        <w:tc>
          <w:tcPr>
            <w:tcW w:w="5362" w:type="dxa"/>
          </w:tcPr>
          <w:p>
            <w:pPr>
              <w:keepNext w:val="0"/>
              <w:keepLines w:val="0"/>
              <w:widowControl w:val="0"/>
              <w:suppressLineNumbers w:val="0"/>
              <w:adjustRightInd/>
              <w:snapToGrid/>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color w:val="auto"/>
                <w:sz w:val="21"/>
                <w:szCs w:val="21"/>
              </w:rPr>
              <w:t>供应商完全满足本项目服务要求（服务应答表无负偏离），得3 分，对服务要求条款每出现一条负偏离，扣1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600"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Merge w:val="continue"/>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p>
        </w:tc>
        <w:tc>
          <w:tcPr>
            <w:tcW w:w="951"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rPr>
              <w:t>供应商实力</w:t>
            </w:r>
          </w:p>
        </w:tc>
        <w:tc>
          <w:tcPr>
            <w:tcW w:w="612" w:type="dxa"/>
            <w:vAlign w:val="center"/>
          </w:tcPr>
          <w:p>
            <w:pPr>
              <w:keepNext w:val="0"/>
              <w:keepLines w:val="0"/>
              <w:widowControl w:val="0"/>
              <w:suppressLineNumbers w:val="0"/>
              <w:adjustRightInd/>
              <w:snapToGrid/>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分</w:t>
            </w:r>
          </w:p>
        </w:tc>
        <w:tc>
          <w:tcPr>
            <w:tcW w:w="5362" w:type="dxa"/>
          </w:tcPr>
          <w:p>
            <w:pPr>
              <w:keepNext w:val="0"/>
              <w:keepLines w:val="0"/>
              <w:widowControl w:val="0"/>
              <w:suppressLineNumbers w:val="0"/>
              <w:adjustRightInd/>
              <w:snapToGrid/>
              <w:spacing w:before="0" w:beforeAutospacing="0" w:after="0" w:afterAutospacing="0"/>
              <w:ind w:left="0" w:right="0" w:firstLine="520" w:firstLineChars="200"/>
              <w:jc w:val="both"/>
              <w:rPr>
                <w:rFonts w:hint="eastAsia" w:ascii="仿宋" w:hAnsi="仿宋" w:eastAsia="仿宋" w:cs="仿宋"/>
                <w:b/>
                <w:bCs/>
                <w:color w:val="auto"/>
                <w:sz w:val="21"/>
                <w:szCs w:val="21"/>
                <w:u w:val="single"/>
              </w:rPr>
            </w:pPr>
            <w:r>
              <w:rPr>
                <w:rFonts w:hint="eastAsia" w:ascii="仿宋" w:hAnsi="仿宋" w:eastAsia="仿宋" w:cs="仿宋"/>
                <w:color w:val="auto"/>
                <w:sz w:val="21"/>
                <w:szCs w:val="21"/>
              </w:rPr>
              <w:t>具有有效的</w:t>
            </w:r>
            <w:r>
              <w:rPr>
                <w:rFonts w:hint="eastAsia" w:ascii="仿宋" w:hAnsi="仿宋" w:eastAsia="仿宋" w:cs="仿宋"/>
                <w:color w:val="auto"/>
                <w:kern w:val="0"/>
                <w:sz w:val="21"/>
                <w:szCs w:val="21"/>
              </w:rPr>
              <w:t>具备质量管理体系证书、环境管理体系证书、职业健康安全管理体系证书</w:t>
            </w:r>
            <w:r>
              <w:rPr>
                <w:rFonts w:hint="eastAsia" w:ascii="仿宋" w:hAnsi="仿宋" w:eastAsia="仿宋" w:cs="仿宋"/>
                <w:color w:val="auto"/>
                <w:sz w:val="21"/>
                <w:szCs w:val="21"/>
              </w:rPr>
              <w:t>的得2 分；提供加盖投标人公章的复印件，不提供不得分。</w:t>
            </w:r>
          </w:p>
        </w:tc>
      </w:tr>
      <w:bookmarkEnd w:id="112"/>
    </w:tbl>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注：1、评委打分超过得分界限或未按本方法赋分时，该评委的打分按无效处理；</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2、各种计算数字均保留两位小数，第三位“四舍五入”；</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3、特殊情况处理：</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定标规则：</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3.1、有效供应商综合得分最高者为该项目第一成交候选人。</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3.2、若出现有效供应商综合得分相同时，按以下规则处理：</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3.2.1得分相同时按响应报价由低到高顺序排列；</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3.2.2得分且报价相同时，各有效供应商的响应文件技术方案得分由高到底顺序排序，得分高的排名优先；</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3.2.3若3.1、3.2均相同时，则现场由供应商抽签确定排名顺序；</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若出现抽签情况，则现场先抽取抽签顺序，再按顺序抽取排名。</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评分分值计算保留小数点后两位，第三位四舍五入。</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23.2</w:t>
      </w:r>
      <w:r>
        <w:rPr>
          <w:rFonts w:hint="eastAsia" w:ascii="仿宋" w:hAnsi="仿宋" w:eastAsia="仿宋" w:cs="仿宋"/>
          <w:bCs/>
        </w:rPr>
        <w:t>磋商</w:t>
      </w:r>
      <w:r>
        <w:rPr>
          <w:rFonts w:hint="eastAsia" w:ascii="仿宋" w:hAnsi="仿宋" w:eastAsia="仿宋" w:cs="仿宋"/>
          <w:lang w:val="zh-CN"/>
        </w:rPr>
        <w:t>小组根据以下内容对入围供应商进行综合分析和比较。</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23.2特殊情况下的磋商方法</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如出现供应商达不到法定数量、串通报价、全部不符合磋商文件要求以及供应商互相诋毁，导致磋商小组无法磋商时，磋商小组有权停止磋商，否决所有报价, 采购人有权改用其它采购方式进行采购。</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23.3无效报价</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供应商有下列情形之一，其报价将被视为无效报价，磋商小组将严格按照《中华人民共和国政府采购法》及相关法律、法规及规章制度的规定行使权利。供应商给采购代理机构及采购人造成损失的，采购代理机构及采购人有索赔的权利，供应商应予以赔偿。</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1)供应商提供的有关资格、资质证明文件不真实或提供虚假报价材料；</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 供应商在报价有效期内撤回报价；</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3) 在整个磋商过程中，供应商有企图影响磋商结果公正性的任何活动；</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4) 供应商以任何方式诋毁其他供应商；</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5) 供应商串通报价；</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6) 以他人名义报价或者以其他方式弄虚作假，骗取成交；</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7) 成交供应商不按要求提交响应保证金费；</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8) 法律、法规规定的其他情况。</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rPr>
        <w:t>23.4价格：对各供应商的最终报价（最终报价不得高于其响应文件的原始报价）之后，最终报价为确定最终成交价的依据。</w:t>
      </w:r>
    </w:p>
    <w:p>
      <w:pPr>
        <w:pStyle w:val="62"/>
        <w:keepNext w:val="0"/>
        <w:keepLines w:val="0"/>
        <w:pageBreakBefore w:val="0"/>
        <w:widowControl/>
        <w:kinsoku/>
        <w:wordWrap/>
        <w:overflowPunct/>
        <w:topLinePunct w:val="0"/>
        <w:autoSpaceDE/>
        <w:autoSpaceDN/>
        <w:bidi w:val="0"/>
        <w:adjustRightInd/>
        <w:snapToGrid/>
        <w:spacing w:line="360" w:lineRule="auto"/>
        <w:ind w:firstLine="580"/>
        <w:textAlignment w:val="auto"/>
        <w:rPr>
          <w:rFonts w:hint="eastAsia" w:ascii="仿宋" w:hAnsi="仿宋" w:eastAsia="仿宋" w:cs="仿宋"/>
        </w:rPr>
      </w:pPr>
      <w:r>
        <w:rPr>
          <w:rFonts w:hint="eastAsia" w:ascii="仿宋" w:hAnsi="仿宋" w:eastAsia="仿宋" w:cs="仿宋"/>
          <w:lang w:val="en-US" w:eastAsia="zh-CN"/>
        </w:rPr>
        <w:t>23</w:t>
      </w:r>
      <w:r>
        <w:rPr>
          <w:rFonts w:hint="eastAsia" w:ascii="仿宋" w:hAnsi="仿宋" w:eastAsia="仿宋" w:cs="仿宋"/>
        </w:rPr>
        <w:t>.5在磋商期间，竞争性磋商小组可要求供应商对其磋商文件中含义不明确的内容作必要的澄清或说明。</w:t>
      </w:r>
    </w:p>
    <w:p>
      <w:pPr>
        <w:tabs>
          <w:tab w:val="left" w:pos="717"/>
        </w:tabs>
        <w:bidi w:val="0"/>
        <w:spacing w:line="360" w:lineRule="auto"/>
        <w:jc w:val="left"/>
        <w:rPr>
          <w:rFonts w:hint="eastAsia" w:ascii="仿宋" w:hAnsi="仿宋" w:eastAsia="仿宋" w:cs="仿宋"/>
        </w:rPr>
      </w:pPr>
      <w:r>
        <w:rPr>
          <w:rFonts w:hint="eastAsia"/>
          <w:lang w:eastAsia="zh-CN"/>
        </w:rPr>
        <w:tab/>
      </w:r>
      <w:r>
        <w:rPr>
          <w:rFonts w:hint="eastAsia" w:ascii="仿宋" w:hAnsi="仿宋" w:eastAsia="仿宋" w:cs="仿宋"/>
        </w:rPr>
        <w:t>23.6竞争性磋商小组通过对各供应商报价、商务部分、技术部分做出详细的评审和对比，最终就磋商提出推荐意见，磋商小组应该根据综合评分情况，按照评审得分由高到低顺序推荐3名提上成交候选供应商。</w:t>
      </w:r>
    </w:p>
    <w:p>
      <w:pPr>
        <w:pStyle w:val="4"/>
        <w:spacing w:line="360" w:lineRule="auto"/>
        <w:rPr>
          <w:rFonts w:hint="eastAsia" w:ascii="仿宋" w:hAnsi="仿宋" w:eastAsia="仿宋" w:cs="仿宋"/>
        </w:rPr>
      </w:pPr>
      <w:bookmarkStart w:id="113" w:name="_Toc344475816"/>
      <w:bookmarkStart w:id="114" w:name="_Toc471327966"/>
      <w:bookmarkStart w:id="115" w:name="_Toc83721684"/>
      <w:bookmarkStart w:id="116" w:name="_Toc44783874"/>
      <w:r>
        <w:rPr>
          <w:rFonts w:hint="eastAsia" w:ascii="仿宋" w:hAnsi="仿宋" w:eastAsia="仿宋" w:cs="仿宋"/>
        </w:rPr>
        <w:t>授予合同</w:t>
      </w:r>
      <w:bookmarkEnd w:id="113"/>
      <w:bookmarkEnd w:id="114"/>
      <w:bookmarkEnd w:id="115"/>
      <w:bookmarkEnd w:id="116"/>
    </w:p>
    <w:p>
      <w:pPr>
        <w:pStyle w:val="2"/>
        <w:pageBreakBefore w:val="0"/>
        <w:numPr>
          <w:ilvl w:val="0"/>
          <w:numId w:val="0"/>
        </w:numPr>
        <w:kinsoku/>
        <w:wordWrap/>
        <w:overflowPunct/>
        <w:topLinePunct w:val="0"/>
        <w:autoSpaceDE/>
        <w:autoSpaceDN/>
        <w:bidi w:val="0"/>
        <w:adjustRightInd/>
        <w:snapToGrid/>
        <w:spacing w:after="0" w:afterLines="0" w:line="360" w:lineRule="auto"/>
        <w:ind w:left="0" w:leftChars="0"/>
        <w:textAlignment w:val="auto"/>
        <w:rPr>
          <w:rFonts w:hint="eastAsia" w:ascii="仿宋" w:hAnsi="仿宋" w:eastAsia="仿宋" w:cs="仿宋"/>
        </w:rPr>
      </w:pPr>
      <w:r>
        <w:rPr>
          <w:rFonts w:hint="eastAsia" w:ascii="仿宋" w:hAnsi="仿宋" w:eastAsia="仿宋" w:cs="仿宋"/>
          <w:lang w:val="en-US" w:eastAsia="zh-CN"/>
        </w:rPr>
        <w:t>24</w:t>
      </w:r>
      <w:r>
        <w:rPr>
          <w:rFonts w:hint="eastAsia" w:ascii="仿宋" w:hAnsi="仿宋" w:eastAsia="仿宋" w:cs="仿宋"/>
        </w:rPr>
        <w:t>合同授予标准</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采购人将把合同授予被确定为实质上响应文件的要求并有最佳的履约能力的供应商。</w:t>
      </w:r>
    </w:p>
    <w:p>
      <w:pPr>
        <w:pStyle w:val="2"/>
        <w:pageBreakBefore w:val="0"/>
        <w:numPr>
          <w:ilvl w:val="0"/>
          <w:numId w:val="0"/>
        </w:numPr>
        <w:kinsoku/>
        <w:wordWrap/>
        <w:overflowPunct/>
        <w:topLinePunct w:val="0"/>
        <w:autoSpaceDE/>
        <w:autoSpaceDN/>
        <w:bidi w:val="0"/>
        <w:adjustRightInd/>
        <w:snapToGrid/>
        <w:spacing w:after="0" w:afterLines="0" w:line="360" w:lineRule="auto"/>
        <w:ind w:left="0" w:leftChars="0"/>
        <w:textAlignment w:val="auto"/>
        <w:rPr>
          <w:rFonts w:hint="eastAsia" w:ascii="仿宋" w:hAnsi="仿宋" w:eastAsia="仿宋" w:cs="仿宋"/>
        </w:rPr>
      </w:pPr>
      <w:r>
        <w:rPr>
          <w:rFonts w:hint="eastAsia" w:ascii="仿宋" w:hAnsi="仿宋" w:eastAsia="仿宋" w:cs="仿宋"/>
          <w:lang w:val="en-US" w:eastAsia="zh-CN"/>
        </w:rPr>
        <w:t>25</w:t>
      </w:r>
      <w:r>
        <w:rPr>
          <w:rFonts w:hint="eastAsia" w:ascii="仿宋" w:hAnsi="仿宋" w:eastAsia="仿宋" w:cs="仿宋"/>
        </w:rPr>
        <w:t>接受和拒绝任何或所有供应商的权力</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采购人保留在授标之前任何时候接受或拒绝任何磋商文件，以及宣布磋商程序无效或拒绝所有磋商文件的权力，对受影响的供应商不承担任何责任。</w:t>
      </w:r>
    </w:p>
    <w:p>
      <w:pPr>
        <w:pStyle w:val="2"/>
        <w:pageBreakBefore w:val="0"/>
        <w:numPr>
          <w:ilvl w:val="0"/>
          <w:numId w:val="0"/>
        </w:numPr>
        <w:kinsoku/>
        <w:wordWrap/>
        <w:overflowPunct/>
        <w:topLinePunct w:val="0"/>
        <w:autoSpaceDE/>
        <w:autoSpaceDN/>
        <w:bidi w:val="0"/>
        <w:adjustRightInd/>
        <w:snapToGrid/>
        <w:spacing w:after="0" w:afterLines="0" w:line="360" w:lineRule="auto"/>
        <w:ind w:left="0" w:leftChars="0"/>
        <w:textAlignment w:val="auto"/>
        <w:rPr>
          <w:rFonts w:hint="eastAsia" w:ascii="仿宋" w:hAnsi="仿宋" w:eastAsia="仿宋" w:cs="仿宋"/>
        </w:rPr>
      </w:pPr>
      <w:r>
        <w:rPr>
          <w:rFonts w:hint="eastAsia" w:ascii="仿宋" w:hAnsi="仿宋" w:eastAsia="仿宋" w:cs="仿宋"/>
          <w:lang w:val="en-US" w:eastAsia="zh-CN"/>
        </w:rPr>
        <w:t>26</w:t>
      </w:r>
      <w:r>
        <w:rPr>
          <w:rFonts w:hint="eastAsia" w:ascii="仿宋" w:hAnsi="仿宋" w:eastAsia="仿宋" w:cs="仿宋"/>
        </w:rPr>
        <w:t>签约通知书</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26.1发布成交公告的同时发出成交通知书。</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26.2 签约通知书是合同的一个组成部分。</w:t>
      </w:r>
    </w:p>
    <w:p>
      <w:pPr>
        <w:pStyle w:val="2"/>
        <w:pageBreakBefore w:val="0"/>
        <w:numPr>
          <w:ilvl w:val="0"/>
          <w:numId w:val="0"/>
        </w:numPr>
        <w:kinsoku/>
        <w:wordWrap/>
        <w:overflowPunct/>
        <w:topLinePunct w:val="0"/>
        <w:autoSpaceDE/>
        <w:autoSpaceDN/>
        <w:bidi w:val="0"/>
        <w:adjustRightInd/>
        <w:snapToGrid/>
        <w:spacing w:after="0" w:afterLines="0" w:line="360" w:lineRule="auto"/>
        <w:ind w:left="0" w:leftChars="0"/>
        <w:textAlignment w:val="auto"/>
        <w:rPr>
          <w:rFonts w:hint="eastAsia" w:ascii="仿宋" w:hAnsi="仿宋" w:eastAsia="仿宋" w:cs="仿宋"/>
        </w:rPr>
      </w:pPr>
      <w:r>
        <w:rPr>
          <w:rFonts w:hint="eastAsia" w:ascii="仿宋" w:hAnsi="仿宋" w:eastAsia="仿宋" w:cs="仿宋"/>
          <w:lang w:val="en-US" w:eastAsia="zh-CN"/>
        </w:rPr>
        <w:t>27</w:t>
      </w:r>
      <w:r>
        <w:rPr>
          <w:rFonts w:hint="eastAsia" w:ascii="仿宋" w:hAnsi="仿宋" w:eastAsia="仿宋" w:cs="仿宋"/>
        </w:rPr>
        <w:t>签订合同</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成交供应商在收到采购代理机构的签约通知书后三十（30）天内，应按磋商文件的要求与采购人签订合同，否则，采购人有权无条件取消成交供应商合同签订资格，与下一成交候选人签订合同。</w:t>
      </w:r>
    </w:p>
    <w:p>
      <w:pPr>
        <w:pStyle w:val="2"/>
        <w:pageBreakBefore w:val="0"/>
        <w:numPr>
          <w:ilvl w:val="0"/>
          <w:numId w:val="0"/>
        </w:numPr>
        <w:kinsoku/>
        <w:wordWrap/>
        <w:overflowPunct/>
        <w:topLinePunct w:val="0"/>
        <w:autoSpaceDE/>
        <w:autoSpaceDN/>
        <w:bidi w:val="0"/>
        <w:adjustRightInd/>
        <w:snapToGrid/>
        <w:spacing w:after="0" w:afterLines="0" w:line="360" w:lineRule="auto"/>
        <w:ind w:left="0" w:leftChars="0"/>
        <w:textAlignment w:val="auto"/>
        <w:rPr>
          <w:rFonts w:hint="eastAsia" w:ascii="仿宋" w:hAnsi="仿宋" w:eastAsia="仿宋" w:cs="仿宋"/>
        </w:rPr>
      </w:pPr>
      <w:r>
        <w:rPr>
          <w:rFonts w:hint="eastAsia" w:ascii="仿宋" w:hAnsi="仿宋" w:eastAsia="仿宋" w:cs="仿宋"/>
          <w:lang w:val="en-US" w:eastAsia="zh-CN"/>
        </w:rPr>
        <w:t>28</w:t>
      </w:r>
      <w:r>
        <w:rPr>
          <w:rFonts w:hint="eastAsia" w:ascii="仿宋" w:hAnsi="仿宋" w:eastAsia="仿宋" w:cs="仿宋"/>
        </w:rPr>
        <w:t>成交服务费</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本项目的成交供应商应向天鉴国际工程管理有限公司支付成交服务费。</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成交服务费收取帐号信息：</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开户名称：天鉴国际工程管理有限公司西藏分公司</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rPr>
      </w:pPr>
      <w:r>
        <w:rPr>
          <w:rFonts w:hint="eastAsia" w:ascii="仿宋" w:hAnsi="仿宋" w:eastAsia="仿宋" w:cs="仿宋"/>
        </w:rPr>
        <w:t xml:space="preserve">开 户 行：中国建设银行股份有限公司拉萨城北支行            </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lang w:val="en-US" w:eastAsia="zh-CN"/>
        </w:rPr>
      </w:pPr>
      <w:r>
        <w:rPr>
          <w:rFonts w:hint="eastAsia" w:ascii="仿宋" w:hAnsi="仿宋" w:eastAsia="仿宋" w:cs="仿宋"/>
        </w:rPr>
        <w:t>账    号：540</w:t>
      </w:r>
      <w:r>
        <w:rPr>
          <w:rFonts w:hint="eastAsia" w:ascii="仿宋" w:hAnsi="仿宋" w:eastAsia="仿宋" w:cs="仿宋"/>
          <w:lang w:val="en-US" w:eastAsia="zh-CN"/>
        </w:rPr>
        <w:t>50101363600000931</w:t>
      </w:r>
    </w:p>
    <w:p>
      <w:pPr>
        <w:pStyle w:val="62"/>
        <w:pageBreakBefore w:val="0"/>
        <w:kinsoku/>
        <w:wordWrap/>
        <w:overflowPunct/>
        <w:topLinePunct w:val="0"/>
        <w:autoSpaceDE/>
        <w:autoSpaceDN/>
        <w:bidi w:val="0"/>
        <w:adjustRightInd/>
        <w:snapToGrid/>
        <w:spacing w:line="360" w:lineRule="auto"/>
        <w:ind w:left="0" w:firstLine="580"/>
        <w:textAlignment w:val="auto"/>
        <w:rPr>
          <w:rFonts w:hint="eastAsia" w:ascii="仿宋" w:hAnsi="仿宋" w:eastAsia="仿宋" w:cs="仿宋"/>
          <w:lang w:val="en-US" w:eastAsia="zh-CN"/>
        </w:rPr>
      </w:pPr>
      <w:r>
        <w:rPr>
          <w:rFonts w:hint="eastAsia" w:ascii="仿宋" w:hAnsi="仿宋" w:eastAsia="仿宋" w:cs="仿宋"/>
          <w:lang w:val="en-US" w:eastAsia="zh-CN"/>
        </w:rPr>
        <w:t>29纸质本响应文件要求：无</w:t>
      </w:r>
    </w:p>
    <w:p>
      <w:pPr>
        <w:pStyle w:val="4"/>
        <w:spacing w:line="360" w:lineRule="auto"/>
        <w:rPr>
          <w:rFonts w:hint="eastAsia" w:ascii="仿宋" w:hAnsi="仿宋" w:eastAsia="仿宋" w:cs="仿宋"/>
        </w:rPr>
      </w:pPr>
      <w:bookmarkStart w:id="117" w:name="_Toc47415934"/>
      <w:bookmarkStart w:id="118" w:name="_Toc47416188"/>
      <w:bookmarkStart w:id="119" w:name="_Toc47261681"/>
      <w:bookmarkStart w:id="120" w:name="_Toc47262060"/>
      <w:bookmarkStart w:id="121" w:name="_Toc47261876"/>
      <w:bookmarkStart w:id="122" w:name="_Toc49019227"/>
      <w:bookmarkStart w:id="123" w:name="_Toc344475817"/>
      <w:r>
        <w:rPr>
          <w:rFonts w:hint="eastAsia" w:ascii="仿宋" w:hAnsi="仿宋" w:eastAsia="仿宋" w:cs="仿宋"/>
        </w:rPr>
        <w:br w:type="page"/>
      </w:r>
      <w:bookmarkStart w:id="124" w:name="_Toc44783875"/>
      <w:r>
        <w:rPr>
          <w:rFonts w:hint="eastAsia" w:ascii="仿宋" w:hAnsi="仿宋" w:eastAsia="仿宋" w:cs="仿宋"/>
        </w:rPr>
        <w:t>商务要求</w:t>
      </w:r>
      <w:bookmarkEnd w:id="124"/>
    </w:p>
    <w:p>
      <w:pPr>
        <w:pStyle w:val="2"/>
        <w:numPr>
          <w:ilvl w:val="0"/>
          <w:numId w:val="0"/>
        </w:numPr>
        <w:spacing w:after="143" w:line="360" w:lineRule="auto"/>
        <w:ind w:left="284" w:leftChars="0"/>
        <w:rPr>
          <w:rFonts w:hint="eastAsia" w:ascii="仿宋" w:hAnsi="仿宋" w:eastAsia="仿宋" w:cs="仿宋"/>
        </w:rPr>
      </w:pPr>
      <w:bookmarkStart w:id="125" w:name="_Toc30170"/>
      <w:r>
        <w:rPr>
          <w:rFonts w:hint="eastAsia" w:ascii="仿宋" w:hAnsi="仿宋" w:eastAsia="仿宋" w:cs="仿宋"/>
          <w:lang w:val="en-US" w:eastAsia="zh-CN"/>
        </w:rPr>
        <w:t>30</w:t>
      </w:r>
      <w:r>
        <w:rPr>
          <w:rFonts w:hint="eastAsia" w:ascii="仿宋" w:hAnsi="仿宋" w:eastAsia="仿宋" w:cs="仿宋"/>
        </w:rPr>
        <w:t>说明</w:t>
      </w:r>
      <w:bookmarkEnd w:id="125"/>
    </w:p>
    <w:p>
      <w:pPr>
        <w:pStyle w:val="62"/>
        <w:spacing w:line="360" w:lineRule="auto"/>
        <w:ind w:firstLine="580"/>
        <w:rPr>
          <w:rFonts w:hint="eastAsia" w:ascii="仿宋" w:hAnsi="仿宋" w:eastAsia="仿宋" w:cs="仿宋"/>
        </w:rPr>
      </w:pPr>
      <w:r>
        <w:rPr>
          <w:rFonts w:hint="eastAsia" w:ascii="仿宋" w:hAnsi="仿宋" w:eastAsia="仿宋" w:cs="仿宋"/>
        </w:rPr>
        <w:t>供应商提交的资格文件必须是竞争性磋商文件所要求服务内容的范围内规定的资质证明文件，并且作为响应文件的一部分。资质文件应包括以下内容，但不局限于以下内容。资格审查不符合竞争性磋商文件要求的，有可能导致其响应被拒绝，其风险由供应商自负。</w:t>
      </w:r>
    </w:p>
    <w:p>
      <w:pPr>
        <w:pStyle w:val="2"/>
        <w:numPr>
          <w:ilvl w:val="0"/>
          <w:numId w:val="0"/>
        </w:numPr>
        <w:spacing w:after="143" w:line="360" w:lineRule="auto"/>
        <w:ind w:left="284" w:leftChars="0"/>
        <w:rPr>
          <w:rFonts w:hint="eastAsia" w:ascii="仿宋" w:hAnsi="仿宋" w:eastAsia="仿宋" w:cs="仿宋"/>
        </w:rPr>
      </w:pPr>
      <w:bookmarkStart w:id="126" w:name="_Toc5133"/>
      <w:r>
        <w:rPr>
          <w:rFonts w:hint="eastAsia" w:ascii="仿宋" w:hAnsi="仿宋" w:eastAsia="仿宋" w:cs="仿宋"/>
          <w:lang w:val="en-US" w:eastAsia="zh-CN"/>
        </w:rPr>
        <w:t>31</w:t>
      </w:r>
      <w:r>
        <w:rPr>
          <w:rFonts w:hint="eastAsia" w:ascii="仿宋" w:hAnsi="仿宋" w:eastAsia="仿宋" w:cs="仿宋"/>
        </w:rPr>
        <w:t>资格文件</w:t>
      </w:r>
      <w:bookmarkEnd w:id="126"/>
    </w:p>
    <w:p>
      <w:pPr>
        <w:pStyle w:val="62"/>
        <w:spacing w:line="360" w:lineRule="auto"/>
        <w:ind w:firstLine="580"/>
        <w:rPr>
          <w:rFonts w:hint="eastAsia" w:ascii="仿宋" w:hAnsi="仿宋" w:eastAsia="仿宋" w:cs="仿宋"/>
        </w:rPr>
      </w:pPr>
      <w:bookmarkStart w:id="127" w:name="_Toc6365"/>
      <w:r>
        <w:rPr>
          <w:rFonts w:hint="eastAsia" w:ascii="仿宋" w:hAnsi="仿宋" w:eastAsia="仿宋" w:cs="仿宋"/>
        </w:rPr>
        <w:t>31.1营业执照、税务登记证、组织机构代码证和涉及本项目的相关许可证（三证合一者仅需提供加载有统一社会信用代码的营业执照）；</w:t>
      </w:r>
    </w:p>
    <w:p>
      <w:pPr>
        <w:pStyle w:val="62"/>
        <w:spacing w:line="360" w:lineRule="auto"/>
        <w:ind w:firstLine="580"/>
        <w:rPr>
          <w:rFonts w:hint="eastAsia" w:ascii="仿宋" w:hAnsi="仿宋" w:eastAsia="仿宋" w:cs="仿宋"/>
        </w:rPr>
      </w:pPr>
      <w:r>
        <w:rPr>
          <w:rFonts w:hint="eastAsia" w:ascii="仿宋" w:hAnsi="仿宋" w:eastAsia="仿宋" w:cs="仿宋"/>
        </w:rPr>
        <w:t>31.2法定代表人及身份证或法定代表人授权委托书（附法人代表和被委托人身份证复印件）及被委托人身份证；</w:t>
      </w:r>
    </w:p>
    <w:p>
      <w:pPr>
        <w:pStyle w:val="62"/>
        <w:spacing w:line="360" w:lineRule="auto"/>
        <w:ind w:firstLine="580"/>
        <w:rPr>
          <w:rFonts w:hint="eastAsia" w:ascii="仿宋" w:hAnsi="仿宋" w:eastAsia="仿宋" w:cs="仿宋"/>
        </w:rPr>
      </w:pPr>
      <w:r>
        <w:rPr>
          <w:rFonts w:hint="eastAsia" w:ascii="仿宋" w:hAnsi="仿宋" w:eastAsia="仿宋" w:cs="仿宋"/>
        </w:rPr>
        <w:t>31.3供应商参加政府采购活动前三年内，在经营活动中没有重大违法记录（格式自拟）。</w:t>
      </w:r>
    </w:p>
    <w:p>
      <w:pPr>
        <w:pStyle w:val="62"/>
        <w:spacing w:line="360" w:lineRule="auto"/>
        <w:ind w:firstLine="580"/>
        <w:rPr>
          <w:rFonts w:hint="eastAsia" w:ascii="仿宋" w:hAnsi="仿宋" w:eastAsia="仿宋" w:cs="仿宋"/>
        </w:rPr>
      </w:pPr>
      <w:r>
        <w:rPr>
          <w:rFonts w:hint="eastAsia" w:ascii="仿宋" w:hAnsi="仿宋" w:eastAsia="仿宋" w:cs="仿宋"/>
        </w:rPr>
        <w:t>31.4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62"/>
        <w:spacing w:line="360" w:lineRule="auto"/>
        <w:ind w:firstLine="480"/>
        <w:rPr>
          <w:rFonts w:hint="eastAsia" w:ascii="仿宋" w:hAnsi="仿宋" w:eastAsia="仿宋" w:cs="仿宋"/>
          <w:color w:val="auto"/>
          <w:lang w:val="en-US" w:eastAsia="zh-CN"/>
        </w:rPr>
      </w:pPr>
      <w:r>
        <w:rPr>
          <w:rFonts w:hint="eastAsia" w:ascii="仿宋" w:hAnsi="仿宋" w:eastAsia="仿宋" w:cs="仿宋"/>
          <w:color w:val="auto"/>
          <w:lang w:val="en-US" w:eastAsia="zh-CN"/>
        </w:rPr>
        <w:t>31.5</w:t>
      </w:r>
      <w:r>
        <w:rPr>
          <w:rFonts w:hint="eastAsia" w:ascii="仿宋" w:hAnsi="仿宋" w:eastAsia="仿宋" w:cs="仿宋"/>
          <w:color w:val="auto"/>
        </w:rPr>
        <w:t>具备《中华人民共和国政府采购法》第二十二条规定的条件</w:t>
      </w:r>
      <w:r>
        <w:rPr>
          <w:rFonts w:hint="eastAsia" w:ascii="仿宋" w:hAnsi="仿宋" w:eastAsia="仿宋" w:cs="仿宋"/>
          <w:color w:val="auto"/>
          <w:lang w:eastAsia="zh-CN"/>
        </w:rPr>
        <w:t>，</w:t>
      </w:r>
      <w:r>
        <w:rPr>
          <w:rFonts w:hint="eastAsia" w:ascii="仿宋" w:hAnsi="仿宋" w:eastAsia="仿宋" w:cs="仿宋"/>
          <w:color w:val="auto"/>
          <w:lang w:val="en-US" w:eastAsia="zh-CN"/>
        </w:rPr>
        <w:t>提供证明材料或承诺函格式自拟</w:t>
      </w:r>
    </w:p>
    <w:p>
      <w:pPr>
        <w:pStyle w:val="62"/>
        <w:spacing w:line="360" w:lineRule="auto"/>
        <w:ind w:firstLine="580"/>
        <w:rPr>
          <w:rFonts w:hint="eastAsia" w:ascii="仿宋" w:hAnsi="仿宋" w:eastAsia="仿宋" w:cs="仿宋"/>
          <w:color w:val="auto"/>
          <w:lang w:val="en-US" w:eastAsia="zh-CN"/>
        </w:rPr>
      </w:pPr>
      <w:r>
        <w:rPr>
          <w:rFonts w:hint="eastAsia" w:ascii="仿宋" w:hAnsi="仿宋" w:eastAsia="仿宋" w:cs="仿宋"/>
          <w:color w:val="auto"/>
          <w:lang w:val="en-US" w:eastAsia="zh-CN"/>
        </w:rPr>
        <w:t>31.6</w:t>
      </w:r>
      <w:r>
        <w:rPr>
          <w:rFonts w:hint="eastAsia" w:ascii="仿宋" w:hAnsi="仿宋" w:eastAsia="仿宋" w:cs="仿宋"/>
          <w:color w:val="auto"/>
        </w:rPr>
        <w:t>本项目不接受联合体参加采购活动，不允许将部分项目分包和转包</w:t>
      </w:r>
      <w:r>
        <w:rPr>
          <w:rFonts w:hint="eastAsia" w:ascii="仿宋" w:hAnsi="仿宋" w:eastAsia="仿宋" w:cs="仿宋"/>
          <w:color w:val="auto"/>
          <w:lang w:eastAsia="zh-CN"/>
        </w:rPr>
        <w:t>，</w:t>
      </w:r>
      <w:r>
        <w:rPr>
          <w:rFonts w:hint="eastAsia" w:ascii="仿宋" w:hAnsi="仿宋" w:eastAsia="仿宋" w:cs="仿宋"/>
          <w:color w:val="auto"/>
          <w:lang w:val="en-US" w:eastAsia="zh-CN"/>
        </w:rPr>
        <w:t>提供证明材料或承诺函格式自拟</w:t>
      </w:r>
    </w:p>
    <w:p>
      <w:pPr>
        <w:pStyle w:val="62"/>
        <w:spacing w:line="360" w:lineRule="auto"/>
        <w:ind w:firstLine="580"/>
        <w:rPr>
          <w:rFonts w:hint="eastAsia" w:ascii="仿宋" w:hAnsi="仿宋" w:eastAsia="仿宋" w:cs="仿宋"/>
        </w:rPr>
      </w:pP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32</w:t>
      </w:r>
      <w:r>
        <w:rPr>
          <w:rFonts w:hint="eastAsia" w:ascii="仿宋" w:hAnsi="仿宋" w:eastAsia="仿宋" w:cs="仿宋"/>
        </w:rPr>
        <w:t>企业概况及其他资料</w:t>
      </w:r>
      <w:bookmarkEnd w:id="127"/>
    </w:p>
    <w:p>
      <w:pPr>
        <w:pStyle w:val="62"/>
        <w:spacing w:line="360" w:lineRule="auto"/>
        <w:ind w:firstLine="580"/>
        <w:rPr>
          <w:rFonts w:hint="eastAsia" w:ascii="仿宋" w:hAnsi="仿宋" w:eastAsia="仿宋" w:cs="仿宋"/>
        </w:rPr>
      </w:pPr>
      <w:r>
        <w:rPr>
          <w:rFonts w:hint="eastAsia" w:ascii="仿宋" w:hAnsi="仿宋" w:eastAsia="仿宋" w:cs="仿宋"/>
        </w:rPr>
        <w:t>32.1单位名称、企业等级、地址、电话、传真及邮政编码等。</w:t>
      </w:r>
    </w:p>
    <w:p>
      <w:pPr>
        <w:pStyle w:val="62"/>
        <w:spacing w:line="360" w:lineRule="auto"/>
        <w:ind w:firstLine="580"/>
        <w:rPr>
          <w:rFonts w:hint="eastAsia" w:ascii="仿宋" w:hAnsi="仿宋" w:eastAsia="仿宋" w:cs="仿宋"/>
        </w:rPr>
      </w:pPr>
      <w:r>
        <w:rPr>
          <w:rFonts w:hint="eastAsia" w:ascii="仿宋" w:hAnsi="仿宋" w:eastAsia="仿宋" w:cs="仿宋"/>
        </w:rPr>
        <w:t>32.2人员情况。</w:t>
      </w:r>
    </w:p>
    <w:p>
      <w:pPr>
        <w:pStyle w:val="62"/>
        <w:spacing w:line="360" w:lineRule="auto"/>
        <w:ind w:firstLine="580"/>
        <w:rPr>
          <w:rFonts w:hint="eastAsia" w:ascii="仿宋" w:hAnsi="仿宋" w:eastAsia="仿宋" w:cs="仿宋"/>
        </w:rPr>
      </w:pPr>
      <w:r>
        <w:rPr>
          <w:rFonts w:hint="eastAsia" w:ascii="仿宋" w:hAnsi="仿宋" w:eastAsia="仿宋" w:cs="仿宋"/>
        </w:rPr>
        <w:t>32.3本企业近期内的完税证明，以及为企业员工缴纳养老、医疗保险的凭证。</w:t>
      </w:r>
    </w:p>
    <w:p>
      <w:pPr>
        <w:pStyle w:val="62"/>
        <w:spacing w:line="360" w:lineRule="auto"/>
        <w:ind w:firstLine="580"/>
        <w:rPr>
          <w:rFonts w:hint="eastAsia" w:ascii="仿宋" w:hAnsi="仿宋" w:eastAsia="仿宋" w:cs="仿宋"/>
        </w:rPr>
      </w:pPr>
      <w:r>
        <w:rPr>
          <w:rFonts w:hint="eastAsia" w:ascii="仿宋" w:hAnsi="仿宋" w:eastAsia="仿宋" w:cs="仿宋"/>
        </w:rPr>
        <w:t>32.4其他有利于供应商的证明文件。</w:t>
      </w:r>
    </w:p>
    <w:p>
      <w:pPr>
        <w:pStyle w:val="62"/>
        <w:spacing w:line="360" w:lineRule="auto"/>
        <w:ind w:firstLine="580"/>
        <w:rPr>
          <w:rFonts w:hint="eastAsia" w:ascii="仿宋" w:hAnsi="仿宋" w:eastAsia="仿宋" w:cs="仿宋"/>
        </w:rPr>
      </w:pPr>
      <w:r>
        <w:rPr>
          <w:rFonts w:hint="eastAsia" w:ascii="仿宋" w:hAnsi="仿宋" w:eastAsia="仿宋" w:cs="仿宋"/>
        </w:rPr>
        <w:t>注：以上所有要求提供的文件除要求提供原件的以外，其它均要求提供复印件并加盖公章。</w:t>
      </w:r>
    </w:p>
    <w:p>
      <w:pPr>
        <w:pStyle w:val="2"/>
        <w:numPr>
          <w:ilvl w:val="0"/>
          <w:numId w:val="0"/>
        </w:numPr>
        <w:spacing w:after="143" w:line="360" w:lineRule="auto"/>
        <w:ind w:left="284" w:leftChars="0"/>
        <w:rPr>
          <w:rFonts w:hint="eastAsia" w:ascii="仿宋" w:hAnsi="仿宋" w:eastAsia="仿宋" w:cs="仿宋"/>
        </w:rPr>
      </w:pPr>
      <w:bookmarkStart w:id="128" w:name="_Toc15144"/>
      <w:r>
        <w:rPr>
          <w:rFonts w:hint="eastAsia" w:ascii="仿宋" w:hAnsi="仿宋" w:eastAsia="仿宋" w:cs="仿宋"/>
          <w:lang w:val="en-US" w:eastAsia="zh-CN"/>
        </w:rPr>
        <w:t>33</w:t>
      </w:r>
      <w:r>
        <w:rPr>
          <w:rFonts w:hint="eastAsia" w:ascii="仿宋" w:hAnsi="仿宋" w:eastAsia="仿宋" w:cs="仿宋"/>
        </w:rPr>
        <w:t>建设时间、地点及验收方式</w:t>
      </w:r>
      <w:bookmarkEnd w:id="128"/>
    </w:p>
    <w:p>
      <w:pPr>
        <w:pStyle w:val="62"/>
        <w:spacing w:line="360" w:lineRule="auto"/>
        <w:ind w:firstLine="580"/>
        <w:rPr>
          <w:rFonts w:hint="eastAsia" w:ascii="仿宋" w:hAnsi="仿宋" w:eastAsia="仿宋" w:cs="仿宋"/>
        </w:rPr>
      </w:pPr>
      <w:bookmarkStart w:id="129" w:name="_Toc5445"/>
      <w:r>
        <w:rPr>
          <w:rFonts w:hint="eastAsia" w:ascii="仿宋" w:hAnsi="仿宋" w:eastAsia="仿宋" w:cs="仿宋"/>
        </w:rPr>
        <w:t>33.1实施时间</w:t>
      </w:r>
      <w:bookmarkEnd w:id="129"/>
    </w:p>
    <w:p>
      <w:pPr>
        <w:pStyle w:val="62"/>
        <w:spacing w:line="360" w:lineRule="auto"/>
        <w:ind w:firstLine="580"/>
        <w:rPr>
          <w:rFonts w:hint="eastAsia" w:ascii="仿宋" w:hAnsi="仿宋" w:eastAsia="仿宋" w:cs="仿宋"/>
        </w:rPr>
      </w:pPr>
      <w:bookmarkStart w:id="130" w:name="_Toc2656"/>
      <w:r>
        <w:rPr>
          <w:rFonts w:hint="eastAsia" w:ascii="仿宋" w:hAnsi="仿宋" w:eastAsia="仿宋" w:cs="仿宋"/>
        </w:rPr>
        <w:t>详见须知前附表</w:t>
      </w:r>
    </w:p>
    <w:p>
      <w:pPr>
        <w:pStyle w:val="62"/>
        <w:spacing w:line="360" w:lineRule="auto"/>
        <w:ind w:firstLine="580"/>
        <w:rPr>
          <w:rFonts w:hint="eastAsia" w:ascii="仿宋" w:hAnsi="仿宋" w:eastAsia="仿宋" w:cs="仿宋"/>
        </w:rPr>
      </w:pPr>
      <w:r>
        <w:rPr>
          <w:rFonts w:hint="eastAsia" w:ascii="仿宋" w:hAnsi="仿宋" w:eastAsia="仿宋" w:cs="仿宋"/>
        </w:rPr>
        <w:t>33.2实施地点</w:t>
      </w:r>
      <w:bookmarkEnd w:id="130"/>
    </w:p>
    <w:p>
      <w:pPr>
        <w:pStyle w:val="62"/>
        <w:spacing w:line="360" w:lineRule="auto"/>
        <w:ind w:firstLine="580"/>
        <w:rPr>
          <w:rFonts w:hint="eastAsia" w:ascii="仿宋" w:hAnsi="仿宋" w:eastAsia="仿宋" w:cs="仿宋"/>
        </w:rPr>
      </w:pPr>
      <w:bookmarkStart w:id="131" w:name="_Toc454468407"/>
      <w:r>
        <w:rPr>
          <w:rFonts w:hint="eastAsia" w:ascii="仿宋" w:hAnsi="仿宋" w:eastAsia="仿宋" w:cs="仿宋"/>
        </w:rPr>
        <w:t>详见须知前附表</w:t>
      </w:r>
    </w:p>
    <w:bookmarkEnd w:id="131"/>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34</w:t>
      </w:r>
      <w:r>
        <w:rPr>
          <w:rFonts w:hint="eastAsia" w:ascii="仿宋" w:hAnsi="仿宋" w:eastAsia="仿宋" w:cs="仿宋"/>
        </w:rPr>
        <w:t>验收方式</w:t>
      </w:r>
    </w:p>
    <w:p>
      <w:pPr>
        <w:pStyle w:val="62"/>
        <w:spacing w:line="360" w:lineRule="auto"/>
        <w:ind w:left="704" w:firstLine="0" w:firstLineChars="0"/>
        <w:rPr>
          <w:rFonts w:hint="eastAsia" w:ascii="仿宋" w:hAnsi="仿宋" w:eastAsia="仿宋" w:cs="仿宋"/>
        </w:rPr>
      </w:pPr>
      <w:bookmarkStart w:id="132" w:name="_Toc3430"/>
      <w:r>
        <w:rPr>
          <w:rFonts w:hint="eastAsia" w:ascii="仿宋" w:hAnsi="仿宋" w:eastAsia="仿宋" w:cs="仿宋"/>
        </w:rPr>
        <w:t>详见须知前附表</w:t>
      </w:r>
    </w:p>
    <w:p>
      <w:pPr>
        <w:pStyle w:val="2"/>
        <w:numPr>
          <w:ilvl w:val="0"/>
          <w:numId w:val="0"/>
        </w:numPr>
        <w:spacing w:after="143" w:line="360" w:lineRule="auto"/>
        <w:ind w:left="284" w:leftChars="0"/>
        <w:rPr>
          <w:rFonts w:hint="eastAsia" w:ascii="仿宋" w:hAnsi="仿宋" w:eastAsia="仿宋" w:cs="仿宋"/>
        </w:rPr>
      </w:pPr>
      <w:r>
        <w:rPr>
          <w:rFonts w:hint="eastAsia" w:ascii="仿宋" w:hAnsi="仿宋" w:eastAsia="仿宋" w:cs="仿宋"/>
          <w:lang w:val="en-US" w:eastAsia="zh-CN"/>
        </w:rPr>
        <w:t>35</w:t>
      </w:r>
      <w:r>
        <w:rPr>
          <w:rFonts w:hint="eastAsia" w:ascii="仿宋" w:hAnsi="仿宋" w:eastAsia="仿宋" w:cs="仿宋"/>
        </w:rPr>
        <w:t>质量保证</w:t>
      </w:r>
      <w:bookmarkEnd w:id="132"/>
    </w:p>
    <w:p>
      <w:pPr>
        <w:pStyle w:val="62"/>
        <w:spacing w:line="360" w:lineRule="auto"/>
        <w:ind w:firstLine="580"/>
        <w:rPr>
          <w:rFonts w:hint="eastAsia" w:ascii="仿宋" w:hAnsi="仿宋" w:eastAsia="仿宋" w:cs="仿宋"/>
        </w:rPr>
      </w:pPr>
      <w:r>
        <w:rPr>
          <w:rFonts w:hint="eastAsia" w:ascii="仿宋" w:hAnsi="仿宋" w:eastAsia="仿宋" w:cs="仿宋"/>
        </w:rPr>
        <w:t>供应商必须保证在规定期限内完成工作。</w:t>
      </w:r>
    </w:p>
    <w:p>
      <w:pPr>
        <w:pStyle w:val="2"/>
        <w:numPr>
          <w:ilvl w:val="0"/>
          <w:numId w:val="0"/>
        </w:numPr>
        <w:spacing w:after="143" w:line="360" w:lineRule="auto"/>
        <w:ind w:left="284" w:leftChars="0"/>
        <w:rPr>
          <w:rFonts w:hint="eastAsia" w:ascii="仿宋" w:hAnsi="仿宋" w:eastAsia="仿宋" w:cs="仿宋"/>
        </w:rPr>
      </w:pPr>
      <w:bookmarkStart w:id="133" w:name="_Toc22340"/>
      <w:r>
        <w:rPr>
          <w:rFonts w:hint="eastAsia" w:ascii="仿宋" w:hAnsi="仿宋" w:eastAsia="仿宋" w:cs="仿宋"/>
          <w:lang w:val="en-US" w:eastAsia="zh-CN"/>
        </w:rPr>
        <w:t>36</w:t>
      </w:r>
      <w:r>
        <w:rPr>
          <w:rFonts w:hint="eastAsia" w:ascii="仿宋" w:hAnsi="仿宋" w:eastAsia="仿宋" w:cs="仿宋"/>
        </w:rPr>
        <w:t>付款</w:t>
      </w:r>
      <w:bookmarkEnd w:id="133"/>
    </w:p>
    <w:p>
      <w:pPr>
        <w:pStyle w:val="62"/>
        <w:spacing w:line="360" w:lineRule="auto"/>
        <w:ind w:firstLine="580"/>
        <w:rPr>
          <w:rFonts w:hint="eastAsia" w:ascii="仿宋" w:hAnsi="仿宋" w:eastAsia="仿宋" w:cs="仿宋"/>
        </w:rPr>
      </w:pPr>
      <w:bookmarkStart w:id="134" w:name="_Toc21260"/>
      <w:r>
        <w:rPr>
          <w:rFonts w:hint="eastAsia" w:ascii="仿宋" w:hAnsi="仿宋" w:eastAsia="仿宋" w:cs="仿宋"/>
        </w:rPr>
        <w:t>36.1付款方式</w:t>
      </w:r>
      <w:bookmarkEnd w:id="134"/>
    </w:p>
    <w:p>
      <w:pPr>
        <w:pStyle w:val="62"/>
        <w:spacing w:line="360" w:lineRule="auto"/>
        <w:ind w:firstLine="580"/>
        <w:rPr>
          <w:rFonts w:hint="eastAsia" w:ascii="仿宋" w:hAnsi="仿宋" w:eastAsia="仿宋" w:cs="仿宋"/>
        </w:rPr>
      </w:pPr>
      <w:bookmarkStart w:id="135" w:name="_Toc9701"/>
      <w:bookmarkStart w:id="136" w:name="_Toc7417"/>
      <w:r>
        <w:rPr>
          <w:rFonts w:hint="eastAsia" w:ascii="仿宋" w:hAnsi="仿宋" w:eastAsia="仿宋" w:cs="仿宋"/>
        </w:rPr>
        <w:t>请见《供应商须知前附表》。</w:t>
      </w:r>
      <w:bookmarkEnd w:id="135"/>
      <w:bookmarkEnd w:id="136"/>
    </w:p>
    <w:p>
      <w:pPr>
        <w:pStyle w:val="62"/>
        <w:spacing w:line="360" w:lineRule="auto"/>
        <w:ind w:firstLine="580"/>
        <w:rPr>
          <w:rFonts w:hint="eastAsia" w:ascii="仿宋" w:hAnsi="仿宋" w:eastAsia="仿宋" w:cs="仿宋"/>
        </w:rPr>
      </w:pPr>
      <w:bookmarkStart w:id="137" w:name="_Toc27413"/>
      <w:r>
        <w:rPr>
          <w:rFonts w:hint="eastAsia" w:ascii="仿宋" w:hAnsi="仿宋" w:eastAsia="仿宋" w:cs="仿宋"/>
        </w:rPr>
        <w:t>36.2付款</w:t>
      </w:r>
      <w:bookmarkEnd w:id="137"/>
      <w:r>
        <w:rPr>
          <w:rFonts w:hint="eastAsia" w:ascii="仿宋" w:hAnsi="仿宋" w:eastAsia="仿宋" w:cs="仿宋"/>
        </w:rPr>
        <w:t>所具备的资料</w:t>
      </w:r>
    </w:p>
    <w:p>
      <w:pPr>
        <w:pStyle w:val="62"/>
        <w:spacing w:line="360" w:lineRule="auto"/>
        <w:ind w:firstLine="580"/>
        <w:rPr>
          <w:rFonts w:hint="eastAsia" w:ascii="仿宋" w:hAnsi="仿宋" w:eastAsia="仿宋" w:cs="仿宋"/>
        </w:rPr>
      </w:pPr>
      <w:r>
        <w:rPr>
          <w:rFonts w:hint="eastAsia" w:ascii="仿宋" w:hAnsi="仿宋" w:eastAsia="仿宋" w:cs="仿宋"/>
        </w:rPr>
        <w:t>36.2.1服务完成后采购人出具项目验收报告。</w:t>
      </w:r>
    </w:p>
    <w:p>
      <w:pPr>
        <w:pStyle w:val="62"/>
        <w:spacing w:line="360" w:lineRule="auto"/>
        <w:ind w:firstLine="580"/>
        <w:rPr>
          <w:rFonts w:hint="eastAsia" w:ascii="仿宋" w:hAnsi="仿宋" w:eastAsia="仿宋" w:cs="仿宋"/>
        </w:rPr>
      </w:pPr>
      <w:r>
        <w:rPr>
          <w:rFonts w:hint="eastAsia" w:ascii="仿宋" w:hAnsi="仿宋" w:eastAsia="仿宋" w:cs="仿宋"/>
        </w:rPr>
        <w:t>36.2.2供应商必须开具发票。</w:t>
      </w:r>
    </w:p>
    <w:p>
      <w:pPr>
        <w:pStyle w:val="62"/>
        <w:spacing w:line="360" w:lineRule="auto"/>
        <w:ind w:firstLine="580"/>
        <w:rPr>
          <w:rFonts w:hint="eastAsia" w:ascii="仿宋" w:hAnsi="仿宋" w:eastAsia="仿宋" w:cs="仿宋"/>
        </w:rPr>
      </w:pPr>
      <w:r>
        <w:rPr>
          <w:rFonts w:hint="eastAsia" w:ascii="仿宋" w:hAnsi="仿宋" w:eastAsia="仿宋" w:cs="仿宋"/>
        </w:rPr>
        <w:t>36.2.3供应商提交采购合同、验收报告、发票（加盖采购单位财务章）、资金支付申请表等材料，向采购人申请付款。</w:t>
      </w:r>
    </w:p>
    <w:p>
      <w:pPr>
        <w:pStyle w:val="62"/>
        <w:spacing w:line="360" w:lineRule="auto"/>
        <w:ind w:firstLine="580"/>
        <w:rPr>
          <w:rFonts w:hint="eastAsia" w:ascii="仿宋" w:hAnsi="仿宋" w:eastAsia="仿宋" w:cs="仿宋"/>
        </w:rPr>
      </w:pPr>
      <w:r>
        <w:rPr>
          <w:rFonts w:hint="eastAsia" w:ascii="仿宋" w:hAnsi="仿宋" w:eastAsia="仿宋" w:cs="仿宋"/>
        </w:rPr>
        <w:t>36.2.4 采购人对提交的付款资料审核通过后，以转账方式向供应商支付采购资金。</w:t>
      </w:r>
    </w:p>
    <w:p>
      <w:pPr>
        <w:pStyle w:val="2"/>
        <w:numPr>
          <w:ilvl w:val="0"/>
          <w:numId w:val="0"/>
        </w:numPr>
        <w:spacing w:after="143" w:line="360" w:lineRule="auto"/>
        <w:ind w:left="284" w:leftChars="0"/>
        <w:rPr>
          <w:rFonts w:hint="eastAsia" w:ascii="仿宋" w:hAnsi="仿宋" w:eastAsia="仿宋" w:cs="仿宋"/>
        </w:rPr>
      </w:pPr>
      <w:bookmarkStart w:id="138" w:name="_Toc4623"/>
      <w:r>
        <w:rPr>
          <w:rFonts w:hint="eastAsia" w:ascii="仿宋" w:hAnsi="仿宋" w:eastAsia="仿宋" w:cs="仿宋"/>
          <w:lang w:val="en-US" w:eastAsia="zh-CN"/>
        </w:rPr>
        <w:t>37</w:t>
      </w:r>
      <w:r>
        <w:rPr>
          <w:rFonts w:hint="eastAsia" w:ascii="仿宋" w:hAnsi="仿宋" w:eastAsia="仿宋" w:cs="仿宋"/>
        </w:rPr>
        <w:t>知识产权</w:t>
      </w:r>
      <w:bookmarkEnd w:id="138"/>
    </w:p>
    <w:p>
      <w:pPr>
        <w:pStyle w:val="62"/>
        <w:spacing w:line="360" w:lineRule="auto"/>
        <w:ind w:firstLine="580"/>
        <w:rPr>
          <w:rFonts w:hint="eastAsia" w:ascii="仿宋" w:hAnsi="仿宋" w:eastAsia="仿宋" w:cs="仿宋"/>
        </w:rPr>
      </w:pPr>
      <w:r>
        <w:rPr>
          <w:rFonts w:hint="eastAsia" w:ascii="仿宋" w:hAnsi="仿宋" w:eastAsia="仿宋" w:cs="仿宋"/>
        </w:rPr>
        <w:t>采购人在中华人民共和国境内使用供应商提供的服务时免受第三方提出的侵犯其专利权或其它知识产权的起诉。如果第三方提出侵权指控，成交供应商应承担由此而引起的一切法律责任和费用。</w:t>
      </w:r>
    </w:p>
    <w:p>
      <w:pPr>
        <w:pStyle w:val="2"/>
        <w:numPr>
          <w:ilvl w:val="0"/>
          <w:numId w:val="0"/>
        </w:numPr>
        <w:spacing w:after="143" w:line="360" w:lineRule="auto"/>
        <w:ind w:left="284" w:leftChars="0"/>
        <w:rPr>
          <w:rFonts w:hint="eastAsia" w:ascii="仿宋" w:hAnsi="仿宋" w:eastAsia="仿宋" w:cs="仿宋"/>
          <w:b/>
        </w:rPr>
      </w:pPr>
      <w:bookmarkStart w:id="139" w:name="_Toc27236"/>
      <w:r>
        <w:rPr>
          <w:rFonts w:hint="eastAsia" w:ascii="仿宋" w:hAnsi="仿宋" w:eastAsia="仿宋" w:cs="仿宋"/>
          <w:lang w:val="en-US" w:eastAsia="zh-CN"/>
        </w:rPr>
        <w:t>38</w:t>
      </w:r>
      <w:r>
        <w:rPr>
          <w:rFonts w:hint="eastAsia" w:ascii="仿宋" w:hAnsi="仿宋" w:eastAsia="仿宋" w:cs="仿宋"/>
        </w:rPr>
        <w:t>其他</w:t>
      </w:r>
      <w:bookmarkEnd w:id="139"/>
    </w:p>
    <w:p>
      <w:pPr>
        <w:pStyle w:val="62"/>
        <w:spacing w:line="360" w:lineRule="auto"/>
        <w:ind w:firstLine="580"/>
        <w:rPr>
          <w:rFonts w:hint="eastAsia" w:ascii="仿宋" w:hAnsi="仿宋" w:eastAsia="仿宋" w:cs="仿宋"/>
        </w:rPr>
      </w:pPr>
      <w:r>
        <w:rPr>
          <w:rFonts w:hint="eastAsia" w:ascii="仿宋" w:hAnsi="仿宋" w:eastAsia="仿宋" w:cs="仿宋"/>
        </w:rPr>
        <w:t>38.1供应商必须在响应文件中对以上条款和服务承诺明确列出，承诺内容必须达到本篇及竞争性磋商文件其他条款的要求。</w:t>
      </w:r>
    </w:p>
    <w:p>
      <w:pPr>
        <w:pStyle w:val="62"/>
        <w:spacing w:line="360" w:lineRule="auto"/>
        <w:ind w:firstLine="580"/>
        <w:rPr>
          <w:rFonts w:hint="eastAsia" w:ascii="仿宋" w:hAnsi="仿宋" w:eastAsia="仿宋" w:cs="仿宋"/>
          <w:b/>
          <w:kern w:val="0"/>
        </w:rPr>
      </w:pPr>
      <w:r>
        <w:rPr>
          <w:rFonts w:hint="eastAsia" w:ascii="仿宋" w:hAnsi="仿宋" w:eastAsia="仿宋" w:cs="仿宋"/>
        </w:rPr>
        <w:t>38.2其他未尽事宜由供需双方在采购合同中详细约定。</w:t>
      </w:r>
    </w:p>
    <w:p>
      <w:pPr>
        <w:pStyle w:val="40"/>
        <w:spacing w:line="360" w:lineRule="auto"/>
        <w:rPr>
          <w:rFonts w:hint="eastAsia" w:ascii="仿宋" w:hAnsi="仿宋" w:eastAsia="仿宋" w:cs="仿宋"/>
        </w:rPr>
      </w:pPr>
      <w:r>
        <w:rPr>
          <w:rFonts w:hint="eastAsia" w:ascii="仿宋" w:hAnsi="仿宋" w:eastAsia="仿宋" w:cs="仿宋"/>
          <w:sz w:val="24"/>
          <w:szCs w:val="24"/>
        </w:rPr>
        <w:br w:type="page"/>
      </w:r>
      <w:bookmarkStart w:id="140" w:name="_Toc44783876"/>
      <w:r>
        <w:rPr>
          <w:rFonts w:hint="eastAsia" w:ascii="仿宋" w:hAnsi="仿宋" w:eastAsia="仿宋" w:cs="仿宋"/>
        </w:rPr>
        <w:t>第四章 采购需求</w:t>
      </w:r>
      <w:bookmarkEnd w:id="140"/>
    </w:p>
    <w:bookmarkEnd w:id="117"/>
    <w:bookmarkEnd w:id="118"/>
    <w:bookmarkEnd w:id="119"/>
    <w:bookmarkEnd w:id="120"/>
    <w:bookmarkEnd w:id="121"/>
    <w:bookmarkEnd w:id="122"/>
    <w:bookmarkEnd w:id="123"/>
    <w:p>
      <w:pPr>
        <w:spacing w:line="220" w:lineRule="atLeast"/>
        <w:rPr>
          <w:rFonts w:hint="eastAsia" w:ascii="仿宋" w:hAnsi="仿宋" w:eastAsia="仿宋" w:cs="仿宋"/>
          <w:sz w:val="36"/>
          <w:szCs w:val="36"/>
        </w:rPr>
      </w:pPr>
      <w:bookmarkStart w:id="141" w:name="_Toc471327968"/>
      <w:r>
        <w:rPr>
          <w:rFonts w:hint="eastAsia" w:ascii="仿宋" w:hAnsi="仿宋" w:eastAsia="仿宋" w:cs="仿宋"/>
          <w:sz w:val="36"/>
          <w:szCs w:val="36"/>
        </w:rPr>
        <w:t>一、项目清单</w:t>
      </w:r>
    </w:p>
    <w:tbl>
      <w:tblPr>
        <w:tblStyle w:val="4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992"/>
        <w:gridCol w:w="4582"/>
        <w:gridCol w:w="992"/>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序号</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地区</w:t>
            </w:r>
          </w:p>
        </w:tc>
        <w:tc>
          <w:tcPr>
            <w:tcW w:w="458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设备名称</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数量</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拉萨</w:t>
            </w:r>
          </w:p>
        </w:tc>
        <w:tc>
          <w:tcPr>
            <w:tcW w:w="458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FH600A设备(管控设备)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2008年采购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通信管控3G升级设备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2011年采购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全频段压制设备（福特E350）</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2011年采购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1.6</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车载式管制设备升级（福特E350车4G升级）</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1.7</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1.8</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1.9</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车载式管制设备（含4G）及管制设备装载平台特种车辆及改装（奔驰524）</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1.10</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车载式应急电源及装载平台特种车辆及改装</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1.11</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黑鸟信号侦测系统</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2011年采购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日喀则</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山南</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4.1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林芝</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4.2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4.3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4.4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5.1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阿里</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5.2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5.3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5.4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6.1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昌都</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6.2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6.3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6.4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7.1</w:t>
            </w:r>
          </w:p>
        </w:tc>
        <w:tc>
          <w:tcPr>
            <w:tcW w:w="992" w:type="dxa"/>
            <w:vMerge w:val="restart"/>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那曲</w:t>
            </w: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7.2</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可搬移无线频率管控设备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2013年采购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7.3</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车载式管制设备4G升级设备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7.4</w:t>
            </w:r>
          </w:p>
        </w:tc>
        <w:tc>
          <w:tcPr>
            <w:tcW w:w="992" w:type="dxa"/>
            <w:vMerge w:val="continue"/>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p>
        </w:tc>
        <w:tc>
          <w:tcPr>
            <w:tcW w:w="458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搬移式管制设备4G升级设备</w:t>
            </w:r>
          </w:p>
        </w:tc>
        <w:tc>
          <w:tcPr>
            <w:tcW w:w="992"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1套</w:t>
            </w:r>
          </w:p>
        </w:tc>
        <w:tc>
          <w:tcPr>
            <w:tcW w:w="1797" w:type="dxa"/>
            <w:vAlign w:val="center"/>
          </w:tcPr>
          <w:p>
            <w:pPr>
              <w:keepNext w:val="0"/>
              <w:keepLines w:val="0"/>
              <w:suppressLineNumbers w:val="0"/>
              <w:spacing w:before="0" w:beforeAutospacing="0" w:after="0" w:afterAutospacing="0" w:line="220" w:lineRule="atLeast"/>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2015年采购</w:t>
            </w:r>
          </w:p>
        </w:tc>
      </w:tr>
    </w:tbl>
    <w:p>
      <w:pPr>
        <w:spacing w:line="220" w:lineRule="atLeast"/>
        <w:rPr>
          <w:rFonts w:hint="eastAsia" w:ascii="仿宋" w:hAnsi="仿宋" w:eastAsia="仿宋" w:cs="仿宋"/>
        </w:rPr>
      </w:pPr>
    </w:p>
    <w:p>
      <w:pPr>
        <w:pStyle w:val="79"/>
        <w:numPr>
          <w:ilvl w:val="0"/>
          <w:numId w:val="5"/>
        </w:numPr>
        <w:spacing w:line="220" w:lineRule="atLeast"/>
        <w:ind w:firstLineChars="0"/>
        <w:rPr>
          <w:rFonts w:hint="eastAsia" w:ascii="仿宋" w:hAnsi="仿宋" w:eastAsia="仿宋" w:cs="仿宋"/>
          <w:sz w:val="36"/>
          <w:szCs w:val="36"/>
        </w:rPr>
      </w:pPr>
      <w:r>
        <w:rPr>
          <w:rFonts w:hint="eastAsia" w:ascii="仿宋" w:hAnsi="仿宋" w:eastAsia="仿宋" w:cs="仿宋"/>
          <w:sz w:val="36"/>
          <w:szCs w:val="36"/>
        </w:rPr>
        <w:t>项目要求</w:t>
      </w:r>
    </w:p>
    <w:p>
      <w:pPr>
        <w:outlineLvl w:val="0"/>
        <w:rPr>
          <w:rFonts w:hint="eastAsia" w:ascii="仿宋" w:hAnsi="仿宋" w:eastAsia="仿宋" w:cs="仿宋"/>
          <w:b/>
          <w:bCs/>
          <w:sz w:val="24"/>
          <w:szCs w:val="24"/>
        </w:rPr>
      </w:pPr>
      <w:r>
        <w:rPr>
          <w:rFonts w:hint="eastAsia" w:ascii="仿宋" w:hAnsi="仿宋" w:eastAsia="仿宋" w:cs="仿宋"/>
          <w:b/>
          <w:bCs/>
          <w:sz w:val="24"/>
          <w:szCs w:val="24"/>
        </w:rPr>
        <w:t>1、时间要求</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服务期为一年（2023年5月11日-2024年5月11日）。</w:t>
      </w:r>
    </w:p>
    <w:p>
      <w:pPr>
        <w:outlineLvl w:val="0"/>
        <w:rPr>
          <w:rFonts w:hint="eastAsia" w:ascii="仿宋" w:hAnsi="仿宋" w:eastAsia="仿宋" w:cs="仿宋"/>
          <w:b/>
          <w:bCs/>
          <w:sz w:val="24"/>
          <w:szCs w:val="24"/>
        </w:rPr>
      </w:pPr>
      <w:bookmarkStart w:id="142" w:name="_Toc416448784"/>
      <w:bookmarkStart w:id="143" w:name="_Toc15626"/>
      <w:r>
        <w:rPr>
          <w:rFonts w:hint="eastAsia" w:ascii="仿宋" w:hAnsi="仿宋" w:eastAsia="仿宋" w:cs="仿宋"/>
          <w:b/>
          <w:bCs/>
          <w:sz w:val="24"/>
          <w:szCs w:val="24"/>
        </w:rPr>
        <w:t>2、服务地点</w:t>
      </w:r>
      <w:bookmarkEnd w:id="142"/>
      <w:bookmarkEnd w:id="143"/>
    </w:p>
    <w:p>
      <w:pPr>
        <w:ind w:firstLine="580" w:firstLineChars="200"/>
        <w:rPr>
          <w:rFonts w:hint="eastAsia" w:ascii="仿宋" w:hAnsi="仿宋" w:eastAsia="仿宋" w:cs="仿宋"/>
          <w:sz w:val="24"/>
          <w:szCs w:val="24"/>
        </w:rPr>
      </w:pPr>
      <w:r>
        <w:rPr>
          <w:rFonts w:hint="eastAsia" w:ascii="仿宋" w:hAnsi="仿宋" w:eastAsia="仿宋" w:cs="仿宋"/>
          <w:sz w:val="24"/>
          <w:szCs w:val="24"/>
        </w:rPr>
        <w:t>本次服务涉及西藏自治区无线电监测站，以及林芝、山南、日喀则、昌都、那曲和阿里地区无线电管理局。</w:t>
      </w:r>
    </w:p>
    <w:p>
      <w:pPr>
        <w:outlineLvl w:val="0"/>
        <w:rPr>
          <w:rFonts w:hint="eastAsia" w:ascii="仿宋" w:hAnsi="仿宋" w:eastAsia="仿宋" w:cs="仿宋"/>
          <w:b/>
          <w:bCs/>
          <w:sz w:val="24"/>
          <w:szCs w:val="24"/>
        </w:rPr>
      </w:pPr>
      <w:bookmarkStart w:id="144" w:name="_Toc32726"/>
      <w:bookmarkStart w:id="145" w:name="_Toc416448785"/>
      <w:r>
        <w:rPr>
          <w:rFonts w:hint="eastAsia" w:ascii="仿宋" w:hAnsi="仿宋" w:eastAsia="仿宋" w:cs="仿宋"/>
          <w:b/>
          <w:bCs/>
          <w:sz w:val="24"/>
          <w:szCs w:val="24"/>
        </w:rPr>
        <w:t>3、服务范围及内容</w:t>
      </w:r>
      <w:bookmarkEnd w:id="144"/>
      <w:bookmarkEnd w:id="145"/>
    </w:p>
    <w:p>
      <w:pPr>
        <w:ind w:firstLine="580" w:firstLineChars="200"/>
        <w:rPr>
          <w:rFonts w:hint="eastAsia" w:ascii="仿宋" w:hAnsi="仿宋" w:eastAsia="仿宋" w:cs="仿宋"/>
          <w:sz w:val="24"/>
          <w:szCs w:val="24"/>
        </w:rPr>
      </w:pPr>
      <w:r>
        <w:rPr>
          <w:rFonts w:hint="eastAsia" w:ascii="仿宋" w:hAnsi="仿宋" w:eastAsia="仿宋" w:cs="仿宋"/>
          <w:sz w:val="24"/>
          <w:szCs w:val="24"/>
        </w:rPr>
        <w:t>本次招标采购的服务对象及范围主要包括：西藏自治区无线电监测站及自治区其他各地区无线电管理局所有管控设备的相关软、硬件系统，自治区无线电监测站两套黑鸟信号侦测系统，具体设备及系统清单参见附表一。</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服务内容包括：故障响应服务、备品备件服务、巡检服务、常规服务和应急响应等几方面:</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 故障响应：由于某种原因导致服务对象功能丧失，运维人员采取措施将服务对象恢复到正常状态的活动。故障处置过程首先应争取在最短的时间内恢复服务或启用备份资源，维持服务的持续提供，并应对事件做出分析、采取有效的防控措施，减少类似事件的再次发生；</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2）备品备件：指为无法正常运行的服务对象提供备品备件支持服务，在最短的时间内恢复正常运行；</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3）巡检服务：指为保证服务对象的持续正常运行，运维人员根据服务对象的监控记录、运行条件和运行状况进行检查和趋势分析，以便消除或改进；</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常规服务：指运行维护人员对服务对象进行的日常维护，包括设备保养、系统运行健康检查、配置备份，数据备份/恢复等活动，以保证服务对象的稳定运行。定期组织技术人员进行无线电专用设备的技术培训及维护交流；</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5）应急响应：出现重大事件、发生重大自然灾害或由于政府部门发出行政指令或采购人提出要求时，应当启动应急处理程序。</w:t>
      </w:r>
      <w:bookmarkStart w:id="146" w:name="_Toc156701969"/>
    </w:p>
    <w:p>
      <w:pPr>
        <w:outlineLvl w:val="0"/>
        <w:rPr>
          <w:rFonts w:hint="eastAsia" w:ascii="仿宋" w:hAnsi="仿宋" w:eastAsia="仿宋" w:cs="仿宋"/>
          <w:b/>
          <w:bCs/>
          <w:sz w:val="24"/>
          <w:szCs w:val="24"/>
        </w:rPr>
      </w:pPr>
      <w:bookmarkStart w:id="147" w:name="_Toc416448786"/>
      <w:bookmarkStart w:id="148" w:name="_Toc25691"/>
      <w:r>
        <w:rPr>
          <w:rFonts w:hint="eastAsia" w:ascii="仿宋" w:hAnsi="仿宋" w:eastAsia="仿宋" w:cs="仿宋"/>
          <w:b/>
          <w:bCs/>
          <w:sz w:val="24"/>
          <w:szCs w:val="24"/>
        </w:rPr>
        <w:t>4、服务要求</w:t>
      </w:r>
      <w:bookmarkEnd w:id="146"/>
      <w:bookmarkEnd w:id="147"/>
      <w:bookmarkEnd w:id="148"/>
    </w:p>
    <w:p>
      <w:pPr>
        <w:outlineLvl w:val="0"/>
        <w:rPr>
          <w:rFonts w:hint="eastAsia" w:ascii="仿宋" w:hAnsi="仿宋" w:eastAsia="仿宋" w:cs="仿宋"/>
          <w:sz w:val="24"/>
          <w:szCs w:val="24"/>
        </w:rPr>
      </w:pPr>
      <w:bookmarkStart w:id="149" w:name="_Toc416448787"/>
      <w:r>
        <w:rPr>
          <w:rFonts w:hint="eastAsia" w:ascii="仿宋" w:hAnsi="仿宋" w:eastAsia="仿宋" w:cs="仿宋"/>
          <w:sz w:val="24"/>
          <w:szCs w:val="24"/>
        </w:rPr>
        <w:t xml:space="preserve">    </w:t>
      </w:r>
      <w:bookmarkStart w:id="150" w:name="_Toc13183"/>
      <w:r>
        <w:rPr>
          <w:rFonts w:hint="eastAsia" w:ascii="仿宋" w:hAnsi="仿宋" w:eastAsia="仿宋" w:cs="仿宋"/>
          <w:sz w:val="24"/>
          <w:szCs w:val="24"/>
        </w:rPr>
        <w:t>1总体服务要求</w:t>
      </w:r>
      <w:bookmarkEnd w:id="149"/>
      <w:bookmarkEnd w:id="150"/>
    </w:p>
    <w:p>
      <w:pPr>
        <w:ind w:firstLine="580" w:firstLineChars="200"/>
        <w:rPr>
          <w:rFonts w:hint="eastAsia" w:ascii="仿宋" w:hAnsi="仿宋" w:eastAsia="仿宋" w:cs="仿宋"/>
          <w:sz w:val="24"/>
          <w:szCs w:val="24"/>
        </w:rPr>
      </w:pPr>
      <w:r>
        <w:rPr>
          <w:rFonts w:hint="eastAsia" w:ascii="仿宋" w:hAnsi="仿宋" w:eastAsia="仿宋" w:cs="仿宋"/>
          <w:sz w:val="24"/>
          <w:szCs w:val="24"/>
        </w:rPr>
        <w:t>1）供应商应提供真实完整专业的服务体系和服务流程，应详细阐述项目技术支持与运行维护服务体系、服务响应流程、服务质量承诺、技术支持与保修服务投入人员情况、备品备件方案、服务质量监督机制等与保障本项目完整顺利实施的相关内容。</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2）供应商应详细提供可服务于本项目的公司名称、营业执照（复印件）详细地址、电话（传真、专线、座机、手机）、银行帐号、开户行名称、公司法人、联系人、人员状况等。</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3）供应商应具备本项目所有技术支持，应覆盖本项目所涉及的设备及系统，所有技术支持人员具备同类项目经验。</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供应商应在拉萨市设有备件仓库，一旦发生故障需要备件时，备件能够及时到位，尽可能缩小修复时间。备品备件要求必须是与原设备、材料相同的品牌、型号、规格、全新的、无破损的、未经使用的、符合规定的质量、规格和性能要求的产品或的同类升级产品。</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5)供应商应提供7×24的电话技术支持和故障报修服务，并实行“一站式”服务，即一点受理后负责全程跟踪服务。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6)供应商统一负责提供本项目中包括的所有硬件设备及相关的软件产品的现场技术支持和保修服务。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7)供应商在采购人发生需求变化时（如系统实施、变更、优化等），为采购人提供现场人工服务和技术咨询服务。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8)供应商应具有无线电管控设备运营维护建设咨询服务经验，熟悉无线电管控设备运维流程，能够为采购人的相关系统运行维护或建设方面提供咨询服务。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9)本项目所涉及的运行维护设备已经出了保修期的，则合同生效后，供应商需对此类设备发生的故障提供维护保修服务。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10)供应商应提供备件更换服务，在服务响应时间内解决备件更换问题, 确保提供支持的硬件设备恢复正常运行。</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11)供应商应具备7×24小时的现场支持服务能力。</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12)服务期内，供应商负责协助采购人共同完成故障设备的维修与更换及更换后的系统设置及故障恢复。正式更换的设备、材料及软件，供应商应提供与原设备、材料及软件相同的品牌、型号、规格、全新的、无破损的、未经使用的、符合规定的质量、规格和性能要求的产品或它们的升级产品，不得以其它方式替代。对于必须使用替代品进行维修的，须经采购人审核，得到允许后方可使用。由此产生的费用应已包括在本次磋商总价中。</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13)发生在服务响应时间内不能解决的系统类故障时，采购人有权要求供应商派出原厂技术工程师在规定时间内到达指定现场提供现场服务。</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14）合同期内运行维护设备发生变更，由采购人通知供应商设备运行维护变更，供应商应对变更后的设备提供同等级别的运行维护服务，并不再另行收取任何费用；</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15）供应商提供的所有软件、硬件产品必须具有在中国境内的合法使用权和用户保护权且为原装产品，软件必须为正版；</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16）对关键系统中存在的设备、系统软件及应用软件的多厂商问题，在发生系统故障及问题时，供应商协调相关厂商进行分析并加以解决；</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17）当采购人做系统改造、新增项目可行性调查研究、系统软件进行修改、升级或改版时，供应商应积极配合，并重新进行相关设备（或软件）的优化，以确保系统的稳定运行。</w:t>
      </w:r>
    </w:p>
    <w:p>
      <w:pPr>
        <w:rPr>
          <w:rFonts w:hint="eastAsia" w:ascii="仿宋" w:hAnsi="仿宋" w:eastAsia="仿宋" w:cs="仿宋"/>
          <w:sz w:val="24"/>
          <w:szCs w:val="24"/>
        </w:rPr>
      </w:pPr>
      <w:r>
        <w:rPr>
          <w:rFonts w:hint="eastAsia" w:ascii="仿宋" w:hAnsi="仿宋" w:eastAsia="仿宋" w:cs="仿宋"/>
          <w:sz w:val="24"/>
          <w:szCs w:val="24"/>
        </w:rPr>
        <w:t xml:space="preserve">    18）供应商应在合同签订后一个月内提交详细的、并经采购人确认的《运维服务实施方案》，建立详细的运维机制。该《运维服务实施方案》最终以双方共同签字确认的书面材料为准，并作为项目实施、验收合格的主要依据；</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19）对于采购人新增加系统的软硬件，在质保期内出现故障的，供应商统一负责协调原供应商进行维修。</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上述各项服务费用均包含在磋商报价中，特殊情况双方协商决。</w:t>
      </w:r>
    </w:p>
    <w:p>
      <w:pPr>
        <w:outlineLvl w:val="0"/>
        <w:rPr>
          <w:rFonts w:hint="eastAsia" w:ascii="仿宋" w:hAnsi="仿宋" w:eastAsia="仿宋" w:cs="仿宋"/>
          <w:sz w:val="24"/>
          <w:szCs w:val="24"/>
        </w:rPr>
      </w:pPr>
      <w:bookmarkStart w:id="151" w:name="_Toc416448788"/>
      <w:r>
        <w:rPr>
          <w:rFonts w:hint="eastAsia" w:ascii="仿宋" w:hAnsi="仿宋" w:eastAsia="仿宋" w:cs="仿宋"/>
          <w:sz w:val="24"/>
          <w:szCs w:val="24"/>
        </w:rPr>
        <w:t xml:space="preserve">    </w:t>
      </w:r>
      <w:bookmarkStart w:id="152" w:name="_Toc1452"/>
      <w:r>
        <w:rPr>
          <w:rFonts w:hint="eastAsia" w:ascii="仿宋" w:hAnsi="仿宋" w:eastAsia="仿宋" w:cs="仿宋"/>
          <w:sz w:val="24"/>
          <w:szCs w:val="24"/>
        </w:rPr>
        <w:t>2故障响应及处理服务要求</w:t>
      </w:r>
      <w:bookmarkEnd w:id="151"/>
      <w:bookmarkEnd w:id="152"/>
    </w:p>
    <w:p>
      <w:pPr>
        <w:ind w:firstLine="580" w:firstLineChars="200"/>
        <w:rPr>
          <w:rFonts w:hint="eastAsia" w:ascii="仿宋" w:hAnsi="仿宋" w:eastAsia="仿宋" w:cs="仿宋"/>
          <w:sz w:val="24"/>
          <w:szCs w:val="24"/>
        </w:rPr>
      </w:pPr>
      <w:r>
        <w:rPr>
          <w:rFonts w:hint="eastAsia" w:ascii="仿宋" w:hAnsi="仿宋" w:eastAsia="仿宋" w:cs="仿宋"/>
          <w:sz w:val="24"/>
          <w:szCs w:val="24"/>
        </w:rPr>
        <w:t>1）供应商应根据采购人申告的故障级别，采取必要的服务措施(包括调整)，尽快修复故障，恢复设备正常运行。可通过电话指导、现场服务等方式进行故障修复，并保证满足双方约定的服务等级中相应故障级别所规定的时限；</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2）根据故障的严重程度和影响程度的不同，故障级别由低到高分为三级故障、二级故障、一级故障。当故障没有在规定时限内恢复或解决时，故障级别将自动升级，故障级别分类如下：</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一级故障(重大故障)：指设备出现瘫痪、运行中断、性能全面退化或者导致工作无法继续进行的故障，情况紧急。一级故障具有如下特点：车载电源、功放机、发射天线及系统软件等主要设备瘫痪，导致设备不能正常运行；关键功能丧失；系统崩溃。对本类故障，应持续24小时提供技术支持服务，直到故障解决。</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二级故障(主要故障)：指设备出现的影响系统正常运行、设备性能部分退化、丧失部分重要功能的故障以及可能造成设备瘫痪或业务中断的重大隐患，但设备可以有限地继续运行。</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三级故障(次要故障)：指影响设备功能和性能，但管控工作不受影响的故障。</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3）供应商应按照如下标准提供服务： 对应不同的故障等级，供应商应提供三个级别的服务，从服务水平由高到低分为A、B、C三级。A、B、C级服务分别对应一、二、三级故障。A、B、C等级服务的区别和响应时限见下表。</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 w:hRule="atLeast"/>
        </w:trPr>
        <w:tc>
          <w:tcPr>
            <w:tcW w:w="1800" w:type="dxa"/>
            <w:shd w:val="clear" w:color="auto" w:fill="BFBFBF"/>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服务等级</w:t>
            </w:r>
          </w:p>
        </w:tc>
        <w:tc>
          <w:tcPr>
            <w:tcW w:w="6840" w:type="dxa"/>
            <w:shd w:val="clear" w:color="auto" w:fill="BFBFBF"/>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服务描述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A级</w:t>
            </w:r>
          </w:p>
        </w:tc>
        <w:tc>
          <w:tcPr>
            <w:tcW w:w="6840" w:type="dxa"/>
          </w:tcPr>
          <w:p>
            <w:pPr>
              <w:keepNext w:val="0"/>
              <w:keepLines w:val="0"/>
              <w:suppressLineNumbers w:val="0"/>
              <w:spacing w:before="0" w:beforeAutospacing="0" w:after="0" w:afterAutospacing="0"/>
              <w:ind w:left="0" w:right="0"/>
              <w:rPr>
                <w:rFonts w:hint="eastAsia" w:ascii="仿宋" w:hAnsi="仿宋" w:eastAsia="仿宋" w:cs="仿宋"/>
                <w:sz w:val="24"/>
                <w:szCs w:val="24"/>
              </w:rPr>
            </w:pPr>
            <w:r>
              <w:rPr>
                <w:rFonts w:hint="eastAsia" w:ascii="仿宋" w:hAnsi="仿宋" w:eastAsia="仿宋" w:cs="仿宋"/>
                <w:sz w:val="24"/>
                <w:szCs w:val="24"/>
              </w:rPr>
              <w:t>7x24小时接受申告，驻站保障情况下拉萨市30分钟现场响应。林芝地区、日喀则地区、那曲地区、山南地区12小时现场响应。阿里地区、昌都地区48小时现场响应。特殊情况双方协商故障处理时限。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B级</w:t>
            </w:r>
          </w:p>
        </w:tc>
        <w:tc>
          <w:tcPr>
            <w:tcW w:w="6840" w:type="dxa"/>
          </w:tcPr>
          <w:p>
            <w:pPr>
              <w:keepNext w:val="0"/>
              <w:keepLines w:val="0"/>
              <w:suppressLineNumbers w:val="0"/>
              <w:spacing w:before="0" w:beforeAutospacing="0" w:after="0" w:afterAutospacing="0"/>
              <w:ind w:left="0" w:right="0"/>
              <w:rPr>
                <w:rFonts w:hint="eastAsia" w:ascii="仿宋" w:hAnsi="仿宋" w:eastAsia="仿宋" w:cs="仿宋"/>
                <w:sz w:val="24"/>
                <w:szCs w:val="24"/>
              </w:rPr>
            </w:pPr>
            <w:r>
              <w:rPr>
                <w:rFonts w:hint="eastAsia" w:ascii="仿宋" w:hAnsi="仿宋" w:eastAsia="仿宋" w:cs="仿宋"/>
                <w:sz w:val="24"/>
                <w:szCs w:val="24"/>
              </w:rPr>
              <w:t>7x24小时接受申告，驻站保障情况下拉萨市60分钟现场响应。林芝地区、日喀则地区、那曲地区、山南地区48小时现场响应。阿里地区、昌都地区72小时现场响应。特殊情况双方协商故障处理时限。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C级</w:t>
            </w:r>
          </w:p>
        </w:tc>
        <w:tc>
          <w:tcPr>
            <w:tcW w:w="6840" w:type="dxa"/>
          </w:tcPr>
          <w:p>
            <w:pPr>
              <w:keepNext w:val="0"/>
              <w:keepLines w:val="0"/>
              <w:suppressLineNumbers w:val="0"/>
              <w:spacing w:before="0" w:beforeAutospacing="0" w:after="0" w:afterAutospacing="0"/>
              <w:ind w:left="0" w:right="0"/>
              <w:rPr>
                <w:rFonts w:hint="eastAsia" w:ascii="仿宋" w:hAnsi="仿宋" w:eastAsia="仿宋" w:cs="仿宋"/>
                <w:sz w:val="24"/>
                <w:szCs w:val="24"/>
              </w:rPr>
            </w:pPr>
            <w:r>
              <w:rPr>
                <w:rFonts w:hint="eastAsia" w:ascii="仿宋" w:hAnsi="仿宋" w:eastAsia="仿宋" w:cs="仿宋"/>
                <w:sz w:val="24"/>
                <w:szCs w:val="24"/>
              </w:rPr>
              <w:t>7x24小时接受申告，驻站保障情况下拉萨市2小时现场响应。林芝地区、日喀则地区、那曲地区、山南地区48小时现场响应。阿里地区、昌都地区96小时现场响应。特殊情况双方协商故障处理时限。</w:t>
            </w:r>
          </w:p>
        </w:tc>
      </w:tr>
    </w:tbl>
    <w:p>
      <w:pPr>
        <w:ind w:firstLine="580" w:firstLineChars="200"/>
        <w:rPr>
          <w:rFonts w:hint="eastAsia" w:ascii="仿宋" w:hAnsi="仿宋" w:eastAsia="仿宋" w:cs="仿宋"/>
          <w:sz w:val="24"/>
          <w:szCs w:val="24"/>
        </w:rPr>
      </w:pPr>
      <w:r>
        <w:rPr>
          <w:rFonts w:hint="eastAsia" w:ascii="仿宋" w:hAnsi="仿宋" w:eastAsia="仿宋" w:cs="仿宋"/>
          <w:sz w:val="24"/>
          <w:szCs w:val="24"/>
        </w:rPr>
        <w:t>4）电话响应要求： 供应商应提供全年365天，每天24小时电话支持服务，当设备出现故障时，采购人通过供应商指定的值班响应电话进行故障申报，供应商保证对采购人的故障申报在规定时间内响应；</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5）电话支持服务要求：对于能够通过电话指导并解决的故障，可通过电话在线对故障进行诊断，查找故障出现的原因，指导现场维护人员处理故障。具体要求如下：</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●供应商服务人员通过电话对故障设备进行诊断，分析故障产生的原因，制定故障解决技术方案后，汇报采购人，待技术方案经采购人批准后，才能进行故障解决方案的具体实施；</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●对于不同级别的故障，电话支持服务的响应时限要求见下表：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3448"/>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1" w:type="dxa"/>
            <w:shd w:val="clear" w:color="auto" w:fill="BFBFB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故障级别</w:t>
            </w:r>
          </w:p>
        </w:tc>
        <w:tc>
          <w:tcPr>
            <w:tcW w:w="3448" w:type="dxa"/>
            <w:shd w:val="clear" w:color="auto" w:fill="BFBFB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响应时限</w:t>
            </w:r>
          </w:p>
        </w:tc>
        <w:tc>
          <w:tcPr>
            <w:tcW w:w="2328" w:type="dxa"/>
            <w:shd w:val="clear" w:color="auto" w:fill="BFBFB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故障解决时限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一级故障</w:t>
            </w:r>
          </w:p>
        </w:tc>
        <w:tc>
          <w:tcPr>
            <w:tcW w:w="344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小于30分钟，2小时内提交故障处理方案</w:t>
            </w:r>
          </w:p>
        </w:tc>
        <w:tc>
          <w:tcPr>
            <w:tcW w:w="232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12小时以内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二级故障</w:t>
            </w:r>
          </w:p>
        </w:tc>
        <w:tc>
          <w:tcPr>
            <w:tcW w:w="344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小于60分钟，4小时内提交故障处理方案</w:t>
            </w:r>
          </w:p>
        </w:tc>
        <w:tc>
          <w:tcPr>
            <w:tcW w:w="232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48小时以内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9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三级故障</w:t>
            </w:r>
          </w:p>
        </w:tc>
        <w:tc>
          <w:tcPr>
            <w:tcW w:w="344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小于2小时，8小时内提交故障处理方案</w:t>
            </w:r>
          </w:p>
        </w:tc>
        <w:tc>
          <w:tcPr>
            <w:tcW w:w="2328"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72小时以内</w:t>
            </w:r>
          </w:p>
        </w:tc>
      </w:tr>
    </w:tbl>
    <w:p>
      <w:pPr>
        <w:ind w:firstLine="580" w:firstLineChars="200"/>
        <w:rPr>
          <w:rFonts w:hint="eastAsia" w:ascii="仿宋" w:hAnsi="仿宋" w:eastAsia="仿宋" w:cs="仿宋"/>
          <w:sz w:val="24"/>
          <w:szCs w:val="24"/>
        </w:rPr>
      </w:pPr>
      <w:r>
        <w:rPr>
          <w:rFonts w:hint="eastAsia" w:ascii="仿宋" w:hAnsi="仿宋" w:eastAsia="仿宋" w:cs="仿宋"/>
          <w:sz w:val="24"/>
          <w:szCs w:val="24"/>
        </w:rPr>
        <w:t>6）现场服务要求：对于通过电话支持不能解决的设备故障，供应商应迅速提供现场支持服务，安排技术工程师赴现场分析故障原因，制定故障解决方案，并最终排除故障。具体要求如下：</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供应商技术工程师在进行现场支持服务前应作好以下准备：</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Ⅰ、查阅采购人用户档案，了解设备运行情况及设备以往所发生过的问题及处理办法；</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Ⅱ、准备技术服务工具、技术服务资料、交通工具、必要的备品备件及软件。</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了解设备运行情况，核实故障现象，并根据故障现象对设备进行故障分析、测试、诊断，并制定设备恢复和故障解决技术方案, 技术工程师须保证优先实施设备恢复，在恢复设备的前提下，再进行彻底的故障修复。技术方案经采购人批准后，在采购人技术部门允许下，由供应商技术工程师进行具体实施或由采购人技术人员具体实施；</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确定为设备硬件故障，供应商为采购人免费修理硬件故障，费用由供应商承担。供应商服务人员在处理故障后，要向采购人技术人员解释故障原因和解决方法，提交详细的技术故障分析报告，以及预防措施；</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7）故障报告要求：供应商在故障修复后2个工作日内提供详细的故障报告，（故障报告模版由供应商提供）报告应至少包括以下内容：</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采购人申告故障时间/供应商现场服务时间/故障修复时间</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供应商技术支持工程师/采购人配合技术工程师</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故障现象</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故障处理过程，解决办法，故障处理结果</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故障原因分析</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故障影响范围</w:t>
      </w:r>
    </w:p>
    <w:p>
      <w:pPr>
        <w:numPr>
          <w:ilvl w:val="0"/>
          <w:numId w:val="6"/>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故障预防性维护建议</w:t>
      </w:r>
    </w:p>
    <w:p>
      <w:pPr>
        <w:outlineLvl w:val="0"/>
        <w:rPr>
          <w:rFonts w:hint="eastAsia" w:ascii="仿宋" w:hAnsi="仿宋" w:eastAsia="仿宋" w:cs="仿宋"/>
          <w:sz w:val="24"/>
          <w:szCs w:val="24"/>
        </w:rPr>
      </w:pPr>
      <w:bookmarkStart w:id="153" w:name="_Toc416448789"/>
      <w:r>
        <w:rPr>
          <w:rFonts w:hint="eastAsia" w:ascii="仿宋" w:hAnsi="仿宋" w:eastAsia="仿宋" w:cs="仿宋"/>
          <w:sz w:val="24"/>
          <w:szCs w:val="24"/>
        </w:rPr>
        <w:t xml:space="preserve">    </w:t>
      </w:r>
      <w:bookmarkStart w:id="154" w:name="_Toc28485"/>
      <w:r>
        <w:rPr>
          <w:rFonts w:hint="eastAsia" w:ascii="仿宋" w:hAnsi="仿宋" w:eastAsia="仿宋" w:cs="仿宋"/>
          <w:sz w:val="24"/>
          <w:szCs w:val="24"/>
        </w:rPr>
        <w:t>3备品备件服务要求</w:t>
      </w:r>
      <w:bookmarkEnd w:id="153"/>
      <w:bookmarkEnd w:id="154"/>
    </w:p>
    <w:p>
      <w:pPr>
        <w:rPr>
          <w:rFonts w:hint="eastAsia" w:ascii="仿宋" w:hAnsi="仿宋" w:eastAsia="仿宋" w:cs="仿宋"/>
          <w:sz w:val="24"/>
          <w:szCs w:val="24"/>
        </w:rPr>
      </w:pPr>
      <w:r>
        <w:rPr>
          <w:rFonts w:hint="eastAsia" w:ascii="仿宋" w:hAnsi="仿宋" w:eastAsia="仿宋" w:cs="仿宋"/>
          <w:sz w:val="24"/>
          <w:szCs w:val="24"/>
        </w:rPr>
        <w:t>供应商应提供完整可行的备品备件方案，主要要求如下：</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1） 供应商须针对本项目所需的设备提供备品备件，并保证有满足年度维护服务所需的原装配件。供应商须说明备品备件所属性质，同时提供备件设备清单。</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供应商供应的所有备件必须具备原制造厂商的铭牌、标志或原厂证明，所有备件均需得到制造商认证，符合制造商公布的质量标准。凡出现任何涉及备件进货渠道、税费等的纠纷，均由供应商承担全部法律责任。</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3）供应商应根据本项目包含的设备配置、数量、分布情况及服务要求等需求制定备品、备件及消耗品方案，并详细列出设备名称、型号、数量、放置位置等内容；</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日常运行维护服务工作中，供应商必须在每个备件中保有一定数量的关键易损备品备件（随时对已使用的备件进行补充），以确保能满足采购人日常运行维护服务的基本要求。所有备品、备件或备机等费用由供应商承担，采购人不再支付任何费用（此类关键易损备品备件存放于拉萨）；</w:t>
      </w:r>
    </w:p>
    <w:p>
      <w:pPr>
        <w:outlineLvl w:val="0"/>
        <w:rPr>
          <w:rFonts w:hint="eastAsia" w:ascii="仿宋" w:hAnsi="仿宋" w:eastAsia="仿宋" w:cs="仿宋"/>
          <w:sz w:val="24"/>
          <w:szCs w:val="24"/>
        </w:rPr>
      </w:pPr>
      <w:bookmarkStart w:id="155" w:name="_Toc416448790"/>
      <w:r>
        <w:rPr>
          <w:rFonts w:hint="eastAsia" w:ascii="仿宋" w:hAnsi="仿宋" w:eastAsia="仿宋" w:cs="仿宋"/>
          <w:sz w:val="24"/>
          <w:szCs w:val="24"/>
        </w:rPr>
        <w:t xml:space="preserve">    </w:t>
      </w:r>
      <w:bookmarkStart w:id="156" w:name="_Toc30028"/>
      <w:r>
        <w:rPr>
          <w:rFonts w:hint="eastAsia" w:ascii="仿宋" w:hAnsi="仿宋" w:eastAsia="仿宋" w:cs="仿宋"/>
          <w:sz w:val="24"/>
          <w:szCs w:val="24"/>
        </w:rPr>
        <w:t>4巡检服务要求</w:t>
      </w:r>
      <w:bookmarkEnd w:id="155"/>
      <w:bookmarkEnd w:id="156"/>
    </w:p>
    <w:p>
      <w:pPr>
        <w:ind w:firstLine="580" w:firstLineChars="200"/>
        <w:rPr>
          <w:rFonts w:hint="eastAsia" w:ascii="仿宋" w:hAnsi="仿宋" w:eastAsia="仿宋" w:cs="仿宋"/>
          <w:sz w:val="24"/>
          <w:szCs w:val="24"/>
        </w:rPr>
      </w:pPr>
      <w:r>
        <w:rPr>
          <w:rFonts w:hint="eastAsia" w:ascii="仿宋" w:hAnsi="仿宋" w:eastAsia="仿宋" w:cs="仿宋"/>
          <w:sz w:val="24"/>
          <w:szCs w:val="24"/>
        </w:rPr>
        <w:t>1）供应商应提供巡检服务，并保证服务期内每半年对全区管控设备进行一次现场巡检服务。通过巡检及时发现设备、系统运行中出现的隐患，减少故障发生概率，保证设备稳定运行。每次巡检完成后三个工作日内，向采购人汇报设备阶段运行情况，提交《巡检服务报告》（报告模版由供应商提供），并根据运行情况向采购人提出升级、改造、更换、优化等建议和方案。巡检服务内容包括不限于：</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●设备运行健康检查</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●设备使用环境检查</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●除尘、润滑等</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2）供应商需在巡检前告知采购人具体巡检日期，巡检过程中采购人技术人员全程参与，并配合供应商技术支持工程师完成巡检工作。</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3）供应商根据巡检的情况，对发现的故障立即进行故障处理；</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4）采购人可根据需要，要求供应商增加或修改设备巡检内容。</w:t>
      </w:r>
    </w:p>
    <w:p>
      <w:pPr>
        <w:outlineLvl w:val="0"/>
        <w:rPr>
          <w:rFonts w:hint="eastAsia" w:ascii="仿宋" w:hAnsi="仿宋" w:eastAsia="仿宋" w:cs="仿宋"/>
          <w:sz w:val="24"/>
          <w:szCs w:val="24"/>
        </w:rPr>
      </w:pPr>
      <w:bookmarkStart w:id="157" w:name="_Toc416448791"/>
      <w:r>
        <w:rPr>
          <w:rFonts w:hint="eastAsia" w:ascii="仿宋" w:hAnsi="仿宋" w:eastAsia="仿宋" w:cs="仿宋"/>
          <w:sz w:val="24"/>
          <w:szCs w:val="24"/>
        </w:rPr>
        <w:t xml:space="preserve">    </w:t>
      </w:r>
      <w:bookmarkStart w:id="158" w:name="_Toc12592"/>
      <w:r>
        <w:rPr>
          <w:rFonts w:hint="eastAsia" w:ascii="仿宋" w:hAnsi="仿宋" w:eastAsia="仿宋" w:cs="仿宋"/>
          <w:sz w:val="24"/>
          <w:szCs w:val="24"/>
        </w:rPr>
        <w:t>5驻场服务要求</w:t>
      </w:r>
      <w:bookmarkEnd w:id="157"/>
      <w:bookmarkEnd w:id="158"/>
    </w:p>
    <w:p>
      <w:pPr>
        <w:ind w:firstLine="580" w:firstLineChars="200"/>
        <w:rPr>
          <w:rFonts w:hint="eastAsia" w:ascii="仿宋" w:hAnsi="仿宋" w:eastAsia="仿宋" w:cs="仿宋"/>
          <w:sz w:val="24"/>
          <w:szCs w:val="24"/>
        </w:rPr>
      </w:pPr>
      <w:r>
        <w:rPr>
          <w:rFonts w:hint="eastAsia" w:ascii="仿宋" w:hAnsi="仿宋" w:eastAsia="仿宋" w:cs="仿宋"/>
          <w:sz w:val="24"/>
          <w:szCs w:val="24"/>
        </w:rPr>
        <w:t>1）供应商应成立专门服务于本项目的项目组，固定项目组人员，对采购人提供支持，项目组成员联系方式应全部提供给采购人；</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2）供应商在供应商案中必须给出确定的项目负责人，供应商应承诺在中标后，实际项目开展时由此确定人选担任本项目的项目经理，未经采购人许可不得随意更换，若因特殊原因需调整，需经采购人同意；</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在服务期内，投标方应为西藏自治区经济和信息化厅无线电管理局直属监测站及各地市无线电管理局（监测站）提供10名驻场服务人员，其中直属监测站应提供熟悉无线电管控设备及系统软硬件、网络及安全等方面的驻场专业服务技术人员不少于2人。协助招标方解决设备、系统运行过程中出现的各类问题，以最快速度恢复系统运行；</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 驻场保障服务技术人员要相对稳定，供应商不得随意更换驻场保障服务技术人员；</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5）如因驻场保障人员个人原因离开本项目或考评不合格的驻场保障服务技术人员，采购人有权要求供应商更换，供应商在接到采购人通知后1周内完成驻场保障服务技术人员更换到场；</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6）采购人为驻场保障服务技术人员提供工作场所，驻场保障服务技术人员应遵守采购人工作制度并签署保密协议；</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7）驻场保障服务技术人员主要协助采购人完成本项目涉及的日常维护和管理工作，其中驻场保障服务技术人员日常工作主要包括如下几个方面：</w:t>
      </w:r>
    </w:p>
    <w:p>
      <w:pPr>
        <w:numPr>
          <w:ilvl w:val="0"/>
          <w:numId w:val="7"/>
        </w:numPr>
        <w:adjustRightInd/>
        <w:snapToGrid/>
        <w:spacing w:after="0"/>
        <w:rPr>
          <w:rFonts w:hint="eastAsia" w:ascii="仿宋" w:hAnsi="仿宋" w:eastAsia="仿宋" w:cs="仿宋"/>
          <w:sz w:val="24"/>
          <w:szCs w:val="24"/>
        </w:rPr>
      </w:pPr>
      <w:r>
        <w:rPr>
          <w:rFonts w:hint="eastAsia" w:ascii="仿宋" w:hAnsi="仿宋" w:eastAsia="仿宋" w:cs="仿宋"/>
          <w:sz w:val="24"/>
          <w:szCs w:val="24"/>
        </w:rPr>
        <w:t>设备（硬件）例行健康性检查、维护、清洁；</w:t>
      </w:r>
    </w:p>
    <w:p>
      <w:pPr>
        <w:numPr>
          <w:ilvl w:val="0"/>
          <w:numId w:val="7"/>
        </w:numPr>
        <w:adjustRightInd/>
        <w:snapToGrid/>
        <w:spacing w:after="0"/>
        <w:rPr>
          <w:rFonts w:hint="eastAsia" w:ascii="仿宋" w:hAnsi="仿宋" w:eastAsia="仿宋" w:cs="仿宋"/>
          <w:sz w:val="24"/>
          <w:szCs w:val="24"/>
        </w:rPr>
      </w:pPr>
      <w:r>
        <w:rPr>
          <w:rFonts w:hint="eastAsia" w:ascii="仿宋" w:hAnsi="仿宋" w:eastAsia="仿宋" w:cs="仿宋"/>
          <w:sz w:val="24"/>
          <w:szCs w:val="24"/>
        </w:rPr>
        <w:t>系统（软件）例行检查、维护；</w:t>
      </w:r>
    </w:p>
    <w:p>
      <w:pPr>
        <w:numPr>
          <w:ilvl w:val="0"/>
          <w:numId w:val="7"/>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日志查看、汇总、分析；</w:t>
      </w:r>
    </w:p>
    <w:p>
      <w:pPr>
        <w:numPr>
          <w:ilvl w:val="0"/>
          <w:numId w:val="7"/>
        </w:numPr>
        <w:adjustRightInd/>
        <w:snapToGrid/>
        <w:spacing w:after="0"/>
        <w:rPr>
          <w:rFonts w:hint="eastAsia" w:ascii="仿宋" w:hAnsi="仿宋" w:eastAsia="仿宋" w:cs="仿宋"/>
          <w:sz w:val="24"/>
          <w:szCs w:val="24"/>
        </w:rPr>
      </w:pPr>
      <w:r>
        <w:rPr>
          <w:rFonts w:hint="eastAsia" w:ascii="仿宋" w:hAnsi="仿宋" w:eastAsia="仿宋" w:cs="仿宋"/>
          <w:sz w:val="24"/>
          <w:szCs w:val="24"/>
        </w:rPr>
        <w:t>数据备份、系统升级；</w:t>
      </w:r>
    </w:p>
    <w:p>
      <w:pPr>
        <w:numPr>
          <w:ilvl w:val="0"/>
          <w:numId w:val="7"/>
        </w:numPr>
        <w:adjustRightInd/>
        <w:snapToGrid/>
        <w:spacing w:after="0"/>
        <w:rPr>
          <w:rFonts w:hint="eastAsia" w:ascii="仿宋" w:hAnsi="仿宋" w:eastAsia="仿宋" w:cs="仿宋"/>
          <w:sz w:val="24"/>
          <w:szCs w:val="24"/>
        </w:rPr>
      </w:pPr>
      <w:r>
        <w:rPr>
          <w:rFonts w:hint="eastAsia" w:ascii="仿宋" w:hAnsi="仿宋" w:eastAsia="仿宋" w:cs="仿宋"/>
          <w:sz w:val="24"/>
          <w:szCs w:val="24"/>
        </w:rPr>
        <w:t>配合集成实施方进行工程实施等。</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驻场保障服务技术人员费用计入磋商报价，期间不得另行收取额外费用。</w:t>
      </w:r>
    </w:p>
    <w:p>
      <w:pPr>
        <w:outlineLvl w:val="0"/>
        <w:rPr>
          <w:rFonts w:hint="eastAsia" w:ascii="仿宋" w:hAnsi="仿宋" w:eastAsia="仿宋" w:cs="仿宋"/>
          <w:sz w:val="24"/>
          <w:szCs w:val="24"/>
        </w:rPr>
      </w:pPr>
      <w:bookmarkStart w:id="159" w:name="_Toc416448792"/>
      <w:r>
        <w:rPr>
          <w:rFonts w:hint="eastAsia" w:ascii="仿宋" w:hAnsi="仿宋" w:eastAsia="仿宋" w:cs="仿宋"/>
          <w:sz w:val="24"/>
          <w:szCs w:val="24"/>
        </w:rPr>
        <w:t xml:space="preserve">    </w:t>
      </w:r>
      <w:bookmarkStart w:id="160" w:name="_Toc4173"/>
      <w:r>
        <w:rPr>
          <w:rFonts w:hint="eastAsia" w:ascii="仿宋" w:hAnsi="仿宋" w:eastAsia="仿宋" w:cs="仿宋"/>
          <w:sz w:val="24"/>
          <w:szCs w:val="24"/>
        </w:rPr>
        <w:t>6服务保证要求</w:t>
      </w:r>
      <w:bookmarkEnd w:id="159"/>
      <w:bookmarkEnd w:id="160"/>
    </w:p>
    <w:p>
      <w:pPr>
        <w:ind w:firstLine="580" w:firstLineChars="200"/>
        <w:rPr>
          <w:rFonts w:hint="eastAsia" w:ascii="仿宋" w:hAnsi="仿宋" w:eastAsia="仿宋" w:cs="仿宋"/>
          <w:sz w:val="24"/>
          <w:szCs w:val="24"/>
        </w:rPr>
      </w:pPr>
      <w:r>
        <w:rPr>
          <w:rFonts w:hint="eastAsia" w:ascii="仿宋" w:hAnsi="仿宋" w:eastAsia="仿宋" w:cs="仿宋"/>
          <w:sz w:val="24"/>
          <w:szCs w:val="24"/>
        </w:rPr>
        <w:t>出现下列情况时，供应商必须调用设备系统原厂商的技术力量和备品备件用于本项目的服务，所需费用由供应商承担：</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●接到采购人故障报修后在故障响应及处理时间内仍未解决问题。</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●不能提供合法渠道的全新备品备件的。</w:t>
      </w:r>
    </w:p>
    <w:p>
      <w:pPr>
        <w:outlineLvl w:val="0"/>
        <w:rPr>
          <w:rFonts w:hint="eastAsia" w:ascii="仿宋" w:hAnsi="仿宋" w:eastAsia="仿宋" w:cs="仿宋"/>
          <w:sz w:val="24"/>
          <w:szCs w:val="24"/>
        </w:rPr>
      </w:pPr>
      <w:bookmarkStart w:id="161" w:name="_Toc416448793"/>
      <w:r>
        <w:rPr>
          <w:rFonts w:hint="eastAsia" w:ascii="仿宋" w:hAnsi="仿宋" w:eastAsia="仿宋" w:cs="仿宋"/>
          <w:sz w:val="24"/>
          <w:szCs w:val="24"/>
        </w:rPr>
        <w:t xml:space="preserve">    </w:t>
      </w:r>
      <w:bookmarkStart w:id="162" w:name="_Toc1161"/>
      <w:r>
        <w:rPr>
          <w:rFonts w:hint="eastAsia" w:ascii="仿宋" w:hAnsi="仿宋" w:eastAsia="仿宋" w:cs="仿宋"/>
          <w:sz w:val="24"/>
          <w:szCs w:val="24"/>
        </w:rPr>
        <w:t>7技术资料要求</w:t>
      </w:r>
      <w:bookmarkEnd w:id="161"/>
      <w:bookmarkEnd w:id="162"/>
    </w:p>
    <w:p>
      <w:pPr>
        <w:ind w:firstLine="580" w:firstLineChars="200"/>
        <w:rPr>
          <w:rFonts w:hint="eastAsia" w:ascii="仿宋" w:hAnsi="仿宋" w:eastAsia="仿宋" w:cs="仿宋"/>
          <w:sz w:val="24"/>
          <w:szCs w:val="24"/>
        </w:rPr>
      </w:pPr>
      <w:r>
        <w:rPr>
          <w:rFonts w:hint="eastAsia" w:ascii="仿宋" w:hAnsi="仿宋" w:eastAsia="仿宋" w:cs="仿宋"/>
          <w:sz w:val="24"/>
          <w:szCs w:val="24"/>
        </w:rPr>
        <w:t>1） 供应商应提供保证设备正常运行的必要技术资料；</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2）供应商应进行技术交流和反馈，填写运维服务记录，提供运维服务维护技术档案，协助采购人建立预防性维护规范，以提高技术人员的日常维护水平和对问题的解决能力；</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3）供应商负责运维使用手册的编制工作，协助采购人对手册进行维护，并提供年度评估、改进服务等；</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4）供应商负责做好运行维护服务过程中的所有文档的记录和归档工作，包括各种形式的服务总结、工作汇报、技术方案以及往来的传真、邮件等，按照相关要求装订成册，每半年向采购人提交汇总后的文档。</w:t>
      </w:r>
    </w:p>
    <w:p>
      <w:pPr>
        <w:outlineLvl w:val="0"/>
        <w:rPr>
          <w:rFonts w:hint="eastAsia" w:ascii="仿宋" w:hAnsi="仿宋" w:eastAsia="仿宋" w:cs="仿宋"/>
          <w:sz w:val="24"/>
          <w:szCs w:val="24"/>
        </w:rPr>
      </w:pPr>
      <w:bookmarkStart w:id="163" w:name="_Toc416448794"/>
      <w:r>
        <w:rPr>
          <w:rFonts w:hint="eastAsia" w:ascii="仿宋" w:hAnsi="仿宋" w:eastAsia="仿宋" w:cs="仿宋"/>
          <w:sz w:val="24"/>
          <w:szCs w:val="24"/>
        </w:rPr>
        <w:t xml:space="preserve">    </w:t>
      </w:r>
      <w:bookmarkStart w:id="164" w:name="_Toc21836"/>
      <w:r>
        <w:rPr>
          <w:rFonts w:hint="eastAsia" w:ascii="仿宋" w:hAnsi="仿宋" w:eastAsia="仿宋" w:cs="仿宋"/>
          <w:sz w:val="24"/>
          <w:szCs w:val="24"/>
        </w:rPr>
        <w:t>8资产管理要求</w:t>
      </w:r>
      <w:bookmarkEnd w:id="163"/>
      <w:bookmarkEnd w:id="164"/>
    </w:p>
    <w:p>
      <w:pPr>
        <w:ind w:firstLine="580" w:firstLineChars="200"/>
        <w:rPr>
          <w:rFonts w:hint="eastAsia" w:ascii="仿宋" w:hAnsi="仿宋" w:eastAsia="仿宋" w:cs="仿宋"/>
          <w:sz w:val="24"/>
          <w:szCs w:val="24"/>
        </w:rPr>
      </w:pPr>
      <w:r>
        <w:rPr>
          <w:rFonts w:hint="eastAsia" w:ascii="仿宋" w:hAnsi="仿宋" w:eastAsia="仿宋" w:cs="仿宋"/>
          <w:sz w:val="24"/>
          <w:szCs w:val="24"/>
        </w:rPr>
        <w:t>供应商承担保管运维服务范围内全部资产的义务，编制固定资产保管清单，严格按照资产清单进行规范管理，对所维护的硬件、软件的变更及时进行更新登记，包括流程图、线路图、系统图、设备清单等文档记录。</w:t>
      </w:r>
    </w:p>
    <w:p>
      <w:pPr>
        <w:outlineLvl w:val="0"/>
        <w:rPr>
          <w:rFonts w:hint="eastAsia" w:ascii="仿宋" w:hAnsi="仿宋" w:eastAsia="仿宋" w:cs="仿宋"/>
          <w:sz w:val="24"/>
          <w:szCs w:val="24"/>
        </w:rPr>
      </w:pPr>
      <w:bookmarkStart w:id="165" w:name="_Toc416448795"/>
      <w:r>
        <w:rPr>
          <w:rFonts w:hint="eastAsia" w:ascii="仿宋" w:hAnsi="仿宋" w:eastAsia="仿宋" w:cs="仿宋"/>
          <w:sz w:val="24"/>
          <w:szCs w:val="24"/>
        </w:rPr>
        <w:t xml:space="preserve">    </w:t>
      </w:r>
      <w:bookmarkStart w:id="166" w:name="_Toc29709"/>
      <w:r>
        <w:rPr>
          <w:rFonts w:hint="eastAsia" w:ascii="仿宋" w:hAnsi="仿宋" w:eastAsia="仿宋" w:cs="仿宋"/>
          <w:sz w:val="24"/>
          <w:szCs w:val="24"/>
        </w:rPr>
        <w:t>9服务质量考核要求</w:t>
      </w:r>
      <w:bookmarkEnd w:id="165"/>
      <w:bookmarkEnd w:id="166"/>
    </w:p>
    <w:p>
      <w:pPr>
        <w:ind w:firstLine="580" w:firstLineChars="200"/>
        <w:rPr>
          <w:rFonts w:hint="eastAsia" w:ascii="仿宋" w:hAnsi="仿宋" w:eastAsia="仿宋" w:cs="仿宋"/>
          <w:sz w:val="24"/>
          <w:szCs w:val="24"/>
        </w:rPr>
      </w:pPr>
      <w:r>
        <w:rPr>
          <w:rFonts w:hint="eastAsia" w:ascii="仿宋" w:hAnsi="仿宋" w:eastAsia="仿宋" w:cs="仿宋"/>
          <w:sz w:val="24"/>
          <w:szCs w:val="24"/>
        </w:rPr>
        <w:t>1）当超过服务期限后，供应商存在应解决而未能解决的故障时，采购人有权要求供应商持续提供服务，直到故障解决为止；</w:t>
      </w:r>
    </w:p>
    <w:p>
      <w:pPr>
        <w:ind w:firstLine="580" w:firstLineChars="200"/>
        <w:rPr>
          <w:rFonts w:hint="eastAsia" w:ascii="仿宋" w:hAnsi="仿宋" w:eastAsia="仿宋" w:cs="仿宋"/>
          <w:sz w:val="24"/>
          <w:szCs w:val="24"/>
        </w:rPr>
      </w:pPr>
      <w:r>
        <w:rPr>
          <w:rFonts w:hint="eastAsia" w:ascii="仿宋" w:hAnsi="仿宋" w:eastAsia="仿宋" w:cs="仿宋"/>
          <w:sz w:val="24"/>
          <w:szCs w:val="24"/>
        </w:rPr>
        <w:t>2）如因供应商服务响应和质量问题造成采购人损失，由供应商负责赔偿，采购人保留其他索赔权力，索赔标准如下：超出响应、故障修复时限要求，采购人将对供应商处以20000元/次的处罚；在大型活动保障或重大维稳事件中超出响应、故障修复时限要求，采购人将对供应商处以50000-100000元/次的处罚；供应商并赔偿给采购人造成的损失；</w:t>
      </w:r>
    </w:p>
    <w:p>
      <w:pPr>
        <w:ind w:firstLine="5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3）每个季度服务结束后，供应商向采购人提供季度服务总结报告，采购人将根据服务质量考核数据和供应商技术服务表现进行考核，如考核不合格，采购人有权终止合同执行；</w:t>
      </w:r>
    </w:p>
    <w:p>
      <w:pPr>
        <w:ind w:firstLine="5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4）供应商应以提供优质服务为工作目标，建立工作规范、服务流程和管理制度等。</w:t>
      </w:r>
    </w:p>
    <w:p>
      <w:pPr>
        <w:bidi w:val="0"/>
        <w:rPr>
          <w:rFonts w:hint="eastAsia" w:ascii="仿宋" w:hAnsi="仿宋" w:eastAsia="仿宋" w:cs="仿宋"/>
          <w:b w:val="0"/>
          <w:bCs w:val="0"/>
          <w:sz w:val="24"/>
          <w:szCs w:val="28"/>
        </w:rPr>
      </w:pPr>
      <w:r>
        <w:rPr>
          <w:rFonts w:hint="eastAsia" w:ascii="仿宋" w:hAnsi="仿宋" w:eastAsia="仿宋" w:cs="仿宋"/>
        </w:rPr>
        <w:br w:type="page"/>
      </w:r>
      <w:bookmarkStart w:id="167" w:name="_Toc44783893"/>
      <w:r>
        <w:rPr>
          <w:rFonts w:hint="eastAsia" w:ascii="仿宋" w:hAnsi="仿宋" w:eastAsia="仿宋" w:cs="仿宋"/>
        </w:rPr>
        <w:t>第五章 响应文件格式</w:t>
      </w:r>
      <w:bookmarkEnd w:id="141"/>
      <w:bookmarkEnd w:id="167"/>
    </w:p>
    <w:p>
      <w:pPr>
        <w:spacing w:line="360" w:lineRule="auto"/>
        <w:jc w:val="right"/>
        <w:rPr>
          <w:rFonts w:hint="eastAsia" w:ascii="仿宋" w:hAnsi="仿宋" w:eastAsia="仿宋" w:cs="仿宋"/>
          <w:sz w:val="24"/>
          <w:szCs w:val="24"/>
        </w:rPr>
      </w:pPr>
      <w:r>
        <w:rPr>
          <w:rFonts w:hint="eastAsia" w:ascii="仿宋" w:hAnsi="仿宋" w:eastAsia="仿宋" w:cs="仿宋"/>
          <w:sz w:val="24"/>
          <w:szCs w:val="24"/>
        </w:rPr>
        <w:t>（正本或副本）</w:t>
      </w:r>
    </w:p>
    <w:p>
      <w:pPr>
        <w:spacing w:line="360" w:lineRule="auto"/>
        <w:rPr>
          <w:rFonts w:hint="eastAsia" w:ascii="仿宋" w:hAnsi="仿宋" w:eastAsia="仿宋" w:cs="仿宋"/>
          <w:b/>
          <w:bCs/>
          <w:sz w:val="24"/>
          <w:szCs w:val="24"/>
        </w:rPr>
      </w:pPr>
    </w:p>
    <w:p>
      <w:pPr>
        <w:spacing w:line="360" w:lineRule="auto"/>
        <w:rPr>
          <w:rFonts w:hint="eastAsia" w:ascii="仿宋" w:hAnsi="仿宋" w:eastAsia="仿宋" w:cs="仿宋"/>
          <w:sz w:val="24"/>
          <w:szCs w:val="24"/>
          <w:u w:val="single"/>
        </w:rPr>
      </w:pPr>
    </w:p>
    <w:p>
      <w:pPr>
        <w:spacing w:line="360" w:lineRule="auto"/>
        <w:jc w:val="center"/>
        <w:rPr>
          <w:rFonts w:hint="eastAsia" w:ascii="仿宋" w:hAnsi="仿宋" w:eastAsia="仿宋" w:cs="仿宋"/>
          <w:b/>
          <w:bCs/>
          <w:sz w:val="24"/>
          <w:szCs w:val="24"/>
        </w:rPr>
      </w:pPr>
      <w:r>
        <w:rPr>
          <w:rFonts w:hint="eastAsia" w:ascii="仿宋" w:hAnsi="仿宋" w:eastAsia="仿宋" w:cs="仿宋"/>
          <w:b/>
          <w:bCs/>
          <w:i/>
          <w:sz w:val="24"/>
          <w:szCs w:val="24"/>
          <w:u w:val="single"/>
        </w:rPr>
        <w:t xml:space="preserve">                     </w:t>
      </w:r>
      <w:r>
        <w:rPr>
          <w:rFonts w:hint="eastAsia" w:ascii="仿宋" w:hAnsi="仿宋" w:eastAsia="仿宋" w:cs="仿宋"/>
          <w:b/>
          <w:bCs/>
          <w:sz w:val="24"/>
          <w:szCs w:val="24"/>
        </w:rPr>
        <w:t>（项目名称）</w:t>
      </w:r>
    </w:p>
    <w:p>
      <w:pPr>
        <w:spacing w:line="360" w:lineRule="auto"/>
        <w:rPr>
          <w:rFonts w:hint="eastAsia" w:ascii="仿宋" w:hAnsi="仿宋" w:eastAsia="仿宋" w:cs="仿宋"/>
          <w:b/>
          <w:bCs/>
          <w:sz w:val="24"/>
          <w:szCs w:val="24"/>
        </w:rPr>
      </w:pPr>
    </w:p>
    <w:p>
      <w:pPr>
        <w:spacing w:line="360" w:lineRule="auto"/>
        <w:rPr>
          <w:rFonts w:hint="eastAsia" w:ascii="仿宋" w:hAnsi="仿宋" w:eastAsia="仿宋" w:cs="仿宋"/>
          <w:b/>
          <w:bCs/>
          <w:sz w:val="24"/>
          <w:szCs w:val="24"/>
        </w:rPr>
      </w:pPr>
    </w:p>
    <w:p>
      <w:pPr>
        <w:spacing w:line="360" w:lineRule="auto"/>
        <w:jc w:val="center"/>
        <w:rPr>
          <w:rFonts w:hint="eastAsia" w:ascii="仿宋" w:hAnsi="仿宋" w:eastAsia="仿宋" w:cs="仿宋"/>
          <w:b/>
          <w:bCs/>
          <w:sz w:val="52"/>
          <w:szCs w:val="52"/>
        </w:rPr>
      </w:pPr>
      <w:r>
        <w:rPr>
          <w:rFonts w:hint="eastAsia" w:ascii="仿宋" w:hAnsi="仿宋" w:eastAsia="仿宋" w:cs="仿宋"/>
          <w:b/>
          <w:bCs/>
          <w:sz w:val="52"/>
          <w:szCs w:val="52"/>
        </w:rPr>
        <w:t>响 应 文 件</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ind w:firstLine="1131" w:firstLineChars="390"/>
        <w:rPr>
          <w:rFonts w:hint="eastAsia" w:ascii="仿宋" w:hAnsi="仿宋" w:eastAsia="仿宋" w:cs="仿宋"/>
          <w:b/>
          <w:bCs/>
          <w:sz w:val="24"/>
          <w:szCs w:val="24"/>
        </w:rPr>
      </w:pPr>
      <w:r>
        <w:rPr>
          <w:rFonts w:hint="eastAsia" w:ascii="仿宋" w:hAnsi="仿宋" w:eastAsia="仿宋" w:cs="仿宋"/>
          <w:b/>
          <w:bCs/>
          <w:sz w:val="24"/>
          <w:szCs w:val="24"/>
        </w:rPr>
        <w:t xml:space="preserve">供应商名称： </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（盖单位章） </w:t>
      </w:r>
    </w:p>
    <w:p>
      <w:pPr>
        <w:spacing w:line="360" w:lineRule="auto"/>
        <w:rPr>
          <w:rFonts w:hint="eastAsia" w:ascii="仿宋" w:hAnsi="仿宋" w:eastAsia="仿宋" w:cs="仿宋"/>
          <w:b/>
          <w:bCs/>
          <w:sz w:val="24"/>
          <w:szCs w:val="24"/>
        </w:rPr>
      </w:pPr>
    </w:p>
    <w:p>
      <w:pPr>
        <w:spacing w:line="360" w:lineRule="auto"/>
        <w:ind w:firstLine="1160" w:firstLineChars="400"/>
        <w:rPr>
          <w:rFonts w:hint="eastAsia" w:ascii="仿宋" w:hAnsi="仿宋" w:eastAsia="仿宋" w:cs="仿宋"/>
          <w:b/>
          <w:bCs/>
          <w:sz w:val="24"/>
          <w:szCs w:val="24"/>
        </w:rPr>
      </w:pPr>
      <w:r>
        <w:rPr>
          <w:rFonts w:hint="eastAsia" w:ascii="仿宋" w:hAnsi="仿宋" w:eastAsia="仿宋" w:cs="仿宋"/>
          <w:b/>
          <w:bCs/>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（签字） </w:t>
      </w:r>
    </w:p>
    <w:p>
      <w:pPr>
        <w:spacing w:line="360" w:lineRule="auto"/>
        <w:ind w:firstLine="3758" w:firstLineChars="1296"/>
        <w:rPr>
          <w:rFonts w:hint="eastAsia" w:ascii="仿宋" w:hAnsi="仿宋" w:eastAsia="仿宋" w:cs="仿宋"/>
          <w:b/>
          <w:bCs/>
          <w:sz w:val="24"/>
          <w:szCs w:val="24"/>
        </w:rPr>
      </w:pPr>
    </w:p>
    <w:p>
      <w:pPr>
        <w:spacing w:line="360" w:lineRule="auto"/>
        <w:ind w:firstLine="3998" w:firstLineChars="1379"/>
        <w:rPr>
          <w:rFonts w:hint="eastAsia" w:ascii="仿宋" w:hAnsi="仿宋" w:eastAsia="仿宋" w:cs="仿宋"/>
          <w:b/>
          <w:bCs/>
          <w:sz w:val="24"/>
          <w:szCs w:val="24"/>
        </w:rPr>
      </w:pPr>
      <w:r>
        <w:rPr>
          <w:rFonts w:hint="eastAsia" w:ascii="仿宋" w:hAnsi="仿宋" w:eastAsia="仿宋" w:cs="仿宋"/>
          <w:bCs/>
          <w:sz w:val="24"/>
          <w:szCs w:val="24"/>
          <w:u w:val="single"/>
        </w:rPr>
        <w:t xml:space="preserve">       </w:t>
      </w:r>
      <w:r>
        <w:rPr>
          <w:rFonts w:hint="eastAsia" w:ascii="仿宋" w:hAnsi="仿宋" w:eastAsia="仿宋" w:cs="仿宋"/>
          <w:b/>
          <w:bCs/>
          <w:sz w:val="24"/>
          <w:szCs w:val="24"/>
        </w:rPr>
        <w:t>年</w:t>
      </w:r>
      <w:r>
        <w:rPr>
          <w:rFonts w:hint="eastAsia" w:ascii="仿宋" w:hAnsi="仿宋" w:eastAsia="仿宋" w:cs="仿宋"/>
          <w:sz w:val="24"/>
          <w:szCs w:val="24"/>
          <w:u w:val="single"/>
        </w:rPr>
        <w:t xml:space="preserve">     </w:t>
      </w:r>
      <w:r>
        <w:rPr>
          <w:rFonts w:hint="eastAsia" w:ascii="仿宋" w:hAnsi="仿宋" w:eastAsia="仿宋" w:cs="仿宋"/>
          <w:b/>
          <w:bCs/>
          <w:sz w:val="24"/>
          <w:szCs w:val="24"/>
        </w:rPr>
        <w:t>月</w:t>
      </w:r>
      <w:r>
        <w:rPr>
          <w:rFonts w:hint="eastAsia" w:ascii="仿宋" w:hAnsi="仿宋" w:eastAsia="仿宋" w:cs="仿宋"/>
          <w:sz w:val="24"/>
          <w:szCs w:val="24"/>
          <w:u w:val="single"/>
        </w:rPr>
        <w:t xml:space="preserve">     </w:t>
      </w:r>
      <w:r>
        <w:rPr>
          <w:rFonts w:hint="eastAsia" w:ascii="仿宋" w:hAnsi="仿宋" w:eastAsia="仿宋" w:cs="仿宋"/>
          <w:b/>
          <w:bCs/>
          <w:sz w:val="24"/>
          <w:szCs w:val="24"/>
        </w:rPr>
        <w:t>日</w:t>
      </w:r>
    </w:p>
    <w:p>
      <w:pPr>
        <w:spacing w:line="360" w:lineRule="auto"/>
        <w:ind w:firstLine="630"/>
        <w:rPr>
          <w:rFonts w:hint="eastAsia" w:ascii="仿宋" w:hAnsi="仿宋" w:eastAsia="仿宋" w:cs="仿宋"/>
          <w:b/>
          <w:bCs/>
          <w:sz w:val="24"/>
          <w:szCs w:val="24"/>
        </w:rPr>
      </w:pPr>
    </w:p>
    <w:p>
      <w:pPr>
        <w:pStyle w:val="62"/>
        <w:ind w:firstLine="480"/>
        <w:rPr>
          <w:rFonts w:hint="eastAsia" w:ascii="仿宋" w:hAnsi="仿宋" w:eastAsia="仿宋" w:cs="仿宋"/>
          <w:color w:val="auto"/>
          <w:sz w:val="22"/>
          <w:szCs w:val="22"/>
          <w:lang w:val="zh-CN"/>
        </w:rPr>
      </w:pPr>
      <w:r>
        <w:rPr>
          <w:rFonts w:hint="eastAsia" w:ascii="仿宋" w:hAnsi="仿宋" w:eastAsia="仿宋" w:cs="仿宋"/>
          <w:sz w:val="22"/>
          <w:szCs w:val="24"/>
          <w:lang w:val="en-US" w:eastAsia="zh-CN"/>
        </w:rPr>
        <w:t>注：</w:t>
      </w:r>
      <w:r>
        <w:rPr>
          <w:rFonts w:hint="eastAsia" w:ascii="仿宋" w:hAnsi="仿宋" w:eastAsia="仿宋" w:cs="仿宋"/>
          <w:color w:val="auto"/>
          <w:sz w:val="22"/>
          <w:szCs w:val="22"/>
          <w:lang w:val="zh-CN"/>
        </w:rPr>
        <w:t>本章所制</w:t>
      </w:r>
      <w:r>
        <w:rPr>
          <w:rFonts w:hint="eastAsia" w:ascii="仿宋" w:hAnsi="仿宋" w:eastAsia="仿宋" w:cs="仿宋"/>
          <w:color w:val="auto"/>
          <w:sz w:val="22"/>
          <w:szCs w:val="22"/>
          <w:lang w:val="en-US" w:eastAsia="zh-CN"/>
        </w:rPr>
        <w:t>响应</w:t>
      </w:r>
      <w:r>
        <w:rPr>
          <w:rFonts w:hint="eastAsia" w:ascii="仿宋" w:hAnsi="仿宋" w:eastAsia="仿宋" w:cs="仿宋"/>
          <w:color w:val="auto"/>
          <w:sz w:val="22"/>
          <w:szCs w:val="22"/>
          <w:lang w:val="zh-CN"/>
        </w:rPr>
        <w:t>文件格式有关表格中的备注栏，由</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根据自身</w:t>
      </w:r>
      <w:r>
        <w:rPr>
          <w:rFonts w:hint="eastAsia" w:ascii="仿宋" w:hAnsi="仿宋" w:eastAsia="仿宋" w:cs="仿宋"/>
          <w:color w:val="auto"/>
          <w:sz w:val="22"/>
          <w:szCs w:val="22"/>
          <w:lang w:val="en-US" w:eastAsia="zh-CN"/>
        </w:rPr>
        <w:t>响应</w:t>
      </w:r>
      <w:r>
        <w:rPr>
          <w:rFonts w:hint="eastAsia" w:ascii="仿宋" w:hAnsi="仿宋" w:eastAsia="仿宋" w:cs="仿宋"/>
          <w:color w:val="auto"/>
          <w:sz w:val="22"/>
          <w:szCs w:val="22"/>
          <w:lang w:val="zh-CN"/>
        </w:rPr>
        <w:t>情况作解释性说明，不作为必填项。</w:t>
      </w:r>
    </w:p>
    <w:p>
      <w:pPr>
        <w:pStyle w:val="62"/>
        <w:ind w:firstLine="48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本章所制</w:t>
      </w:r>
      <w:r>
        <w:rPr>
          <w:rFonts w:hint="eastAsia" w:ascii="仿宋" w:hAnsi="仿宋" w:eastAsia="仿宋" w:cs="仿宋"/>
          <w:color w:val="auto"/>
          <w:sz w:val="22"/>
          <w:szCs w:val="22"/>
          <w:lang w:val="en-US" w:eastAsia="zh-CN"/>
        </w:rPr>
        <w:t>响应</w:t>
      </w:r>
      <w:r>
        <w:rPr>
          <w:rFonts w:hint="eastAsia" w:ascii="仿宋" w:hAnsi="仿宋" w:eastAsia="仿宋" w:cs="仿宋"/>
          <w:color w:val="auto"/>
          <w:sz w:val="22"/>
          <w:szCs w:val="22"/>
          <w:lang w:val="zh-CN"/>
        </w:rPr>
        <w:t>文件格式中需要填写的相关内容事项，可能会与本采购项目无关，在不改变</w:t>
      </w:r>
      <w:r>
        <w:rPr>
          <w:rFonts w:hint="eastAsia" w:ascii="仿宋" w:hAnsi="仿宋" w:eastAsia="仿宋" w:cs="仿宋"/>
          <w:color w:val="auto"/>
          <w:sz w:val="22"/>
          <w:szCs w:val="22"/>
          <w:lang w:val="en-US" w:eastAsia="zh-CN"/>
        </w:rPr>
        <w:t>响应</w:t>
      </w:r>
      <w:r>
        <w:rPr>
          <w:rFonts w:hint="eastAsia" w:ascii="仿宋" w:hAnsi="仿宋" w:eastAsia="仿宋" w:cs="仿宋"/>
          <w:color w:val="auto"/>
          <w:sz w:val="22"/>
          <w:szCs w:val="22"/>
          <w:lang w:val="zh-CN"/>
        </w:rPr>
        <w:t>文件原义、不影响本项目采购需求的情况下，</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可以不予填写，但应当注明。</w:t>
      </w:r>
    </w:p>
    <w:p>
      <w:pPr>
        <w:pStyle w:val="62"/>
        <w:ind w:firstLine="480"/>
        <w:rPr>
          <w:rFonts w:hint="eastAsia" w:ascii="仿宋" w:hAnsi="仿宋" w:eastAsia="仿宋" w:cs="仿宋"/>
          <w:color w:val="auto"/>
          <w:sz w:val="22"/>
          <w:szCs w:val="22"/>
          <w:lang w:val="zh-CN"/>
        </w:rPr>
      </w:pP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可以根据</w:t>
      </w:r>
      <w:r>
        <w:rPr>
          <w:rFonts w:hint="eastAsia" w:ascii="仿宋" w:hAnsi="仿宋" w:eastAsia="仿宋" w:cs="仿宋"/>
          <w:color w:val="auto"/>
          <w:sz w:val="22"/>
          <w:szCs w:val="22"/>
          <w:lang w:val="en-US" w:eastAsia="zh-CN"/>
        </w:rPr>
        <w:t>响应</w:t>
      </w:r>
      <w:r>
        <w:rPr>
          <w:rFonts w:hint="eastAsia" w:ascii="仿宋" w:hAnsi="仿宋" w:eastAsia="仿宋" w:cs="仿宋"/>
          <w:color w:val="auto"/>
          <w:sz w:val="22"/>
          <w:szCs w:val="22"/>
          <w:lang w:val="zh-CN"/>
        </w:rPr>
        <w:t>文件编制情况对本章的表格自行增减行列，但不得改变表格的实质性内容。</w:t>
      </w:r>
    </w:p>
    <w:p>
      <w:pPr>
        <w:pStyle w:val="6"/>
        <w:spacing w:line="360" w:lineRule="auto"/>
        <w:rPr>
          <w:rFonts w:hint="eastAsia" w:ascii="仿宋" w:hAnsi="仿宋" w:eastAsia="仿宋" w:cs="仿宋"/>
        </w:rPr>
      </w:pPr>
      <w:bookmarkStart w:id="168" w:name="_Toc275859694"/>
      <w:bookmarkStart w:id="169" w:name="_Toc450557795"/>
      <w:bookmarkStart w:id="170" w:name="_Toc259550882"/>
      <w:bookmarkStart w:id="171" w:name="_Toc471327969"/>
      <w:bookmarkStart w:id="172" w:name="_Toc344475821"/>
      <w:bookmarkStart w:id="173" w:name="_Toc275859695"/>
      <w:bookmarkStart w:id="174" w:name="_Toc259550883"/>
      <w:r>
        <w:rPr>
          <w:rFonts w:hint="eastAsia" w:ascii="仿宋" w:hAnsi="仿宋" w:eastAsia="仿宋" w:cs="仿宋"/>
        </w:rPr>
        <w:t>1、响应一览表</w:t>
      </w:r>
    </w:p>
    <w:p>
      <w:pPr>
        <w:pStyle w:val="92"/>
        <w:spacing w:line="360" w:lineRule="auto"/>
        <w:jc w:val="left"/>
        <w:rPr>
          <w:rFonts w:hint="eastAsia" w:ascii="仿宋" w:hAnsi="仿宋" w:eastAsia="仿宋" w:cs="仿宋"/>
          <w:b/>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供应商名称（公章）               法人授权代表（签章）： </w:t>
      </w:r>
    </w:p>
    <w:tbl>
      <w:tblPr>
        <w:tblStyle w:val="42"/>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2620"/>
        <w:gridCol w:w="4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995" w:type="dxa"/>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b/>
                <w:kern w:val="0"/>
                <w:sz w:val="24"/>
                <w:szCs w:val="24"/>
              </w:rPr>
            </w:pPr>
            <w:r>
              <w:rPr>
                <w:rFonts w:hint="eastAsia" w:ascii="仿宋" w:hAnsi="仿宋" w:eastAsia="仿宋" w:cs="仿宋"/>
                <w:b/>
                <w:kern w:val="0"/>
                <w:sz w:val="24"/>
                <w:szCs w:val="24"/>
              </w:rPr>
              <w:t>项目名称</w:t>
            </w:r>
          </w:p>
        </w:tc>
        <w:tc>
          <w:tcPr>
            <w:tcW w:w="7380" w:type="dxa"/>
            <w:gridSpan w:val="2"/>
            <w:noWrap w:val="0"/>
            <w:vAlign w:val="bottom"/>
          </w:tcPr>
          <w:p>
            <w:pPr>
              <w:keepNext w:val="0"/>
              <w:keepLines w:val="0"/>
              <w:widowControl/>
              <w:suppressLineNumbers w:val="0"/>
              <w:spacing w:before="0" w:beforeAutospacing="0" w:after="0" w:afterAutospacing="0" w:line="360" w:lineRule="auto"/>
              <w:ind w:left="0" w:right="0"/>
              <w:rPr>
                <w:rFonts w:hint="eastAsia" w:ascii="仿宋" w:hAnsi="仿宋" w:eastAsia="仿宋" w:cs="仿宋"/>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995" w:type="dxa"/>
            <w:vMerge w:val="restart"/>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b/>
                <w:kern w:val="0"/>
                <w:sz w:val="24"/>
                <w:szCs w:val="24"/>
              </w:rPr>
            </w:pPr>
            <w:r>
              <w:rPr>
                <w:rFonts w:hint="eastAsia" w:ascii="仿宋" w:hAnsi="仿宋" w:eastAsia="仿宋" w:cs="仿宋"/>
                <w:b/>
                <w:kern w:val="0"/>
                <w:sz w:val="24"/>
                <w:szCs w:val="24"/>
              </w:rPr>
              <w:t>响应报价</w:t>
            </w:r>
          </w:p>
        </w:tc>
        <w:tc>
          <w:tcPr>
            <w:tcW w:w="2620" w:type="dxa"/>
            <w:vMerge w:val="restart"/>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0"/>
                <w:sz w:val="24"/>
                <w:szCs w:val="24"/>
              </w:rPr>
            </w:pPr>
            <w:r>
              <w:rPr>
                <w:rFonts w:hint="eastAsia" w:ascii="仿宋" w:hAnsi="仿宋" w:eastAsia="仿宋" w:cs="仿宋"/>
                <w:kern w:val="0"/>
                <w:sz w:val="24"/>
                <w:szCs w:val="24"/>
              </w:rPr>
              <w:t>总价</w:t>
            </w:r>
          </w:p>
        </w:tc>
        <w:tc>
          <w:tcPr>
            <w:tcW w:w="4760" w:type="dxa"/>
            <w:noWrap w:val="0"/>
            <w:vAlign w:val="bottom"/>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kern w:val="0"/>
                <w:sz w:val="24"/>
                <w:szCs w:val="24"/>
              </w:rPr>
            </w:pPr>
            <w:r>
              <w:rPr>
                <w:rFonts w:hint="eastAsia" w:ascii="仿宋" w:hAnsi="仿宋" w:eastAsia="仿宋" w:cs="仿宋"/>
                <w:kern w:val="0"/>
                <w:sz w:val="24"/>
                <w:szCs w:val="24"/>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995" w:type="dxa"/>
            <w:vMerge w:val="continue"/>
            <w:noWrap w:val="0"/>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b/>
                <w:kern w:val="0"/>
                <w:sz w:val="24"/>
                <w:szCs w:val="24"/>
              </w:rPr>
            </w:pPr>
          </w:p>
        </w:tc>
        <w:tc>
          <w:tcPr>
            <w:tcW w:w="2620" w:type="dxa"/>
            <w:vMerge w:val="continue"/>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0"/>
                <w:sz w:val="24"/>
                <w:szCs w:val="24"/>
              </w:rPr>
            </w:pPr>
          </w:p>
        </w:tc>
        <w:tc>
          <w:tcPr>
            <w:tcW w:w="4760" w:type="dxa"/>
            <w:noWrap w:val="0"/>
            <w:vAlign w:val="bottom"/>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kern w:val="0"/>
                <w:sz w:val="24"/>
                <w:szCs w:val="24"/>
              </w:rPr>
            </w:pPr>
            <w:r>
              <w:rPr>
                <w:rFonts w:hint="eastAsia" w:ascii="仿宋" w:hAnsi="仿宋" w:eastAsia="仿宋" w:cs="仿宋"/>
                <w:kern w:val="0"/>
                <w:sz w:val="24"/>
                <w:szCs w:val="24"/>
              </w:rPr>
              <w:t>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995" w:type="dxa"/>
            <w:vMerge w:val="restart"/>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b/>
                <w:kern w:val="0"/>
                <w:sz w:val="24"/>
                <w:szCs w:val="24"/>
              </w:rPr>
            </w:pPr>
            <w:r>
              <w:rPr>
                <w:rFonts w:hint="eastAsia" w:ascii="仿宋" w:hAnsi="仿宋" w:eastAsia="仿宋" w:cs="仿宋"/>
                <w:b/>
                <w:kern w:val="0"/>
                <w:sz w:val="24"/>
                <w:szCs w:val="24"/>
              </w:rPr>
              <w:t>响应保证金</w:t>
            </w:r>
          </w:p>
        </w:tc>
        <w:tc>
          <w:tcPr>
            <w:tcW w:w="7380" w:type="dxa"/>
            <w:gridSpan w:val="2"/>
            <w:noWrap w:val="0"/>
            <w:vAlign w:val="bottom"/>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kern w:val="0"/>
                <w:sz w:val="24"/>
                <w:szCs w:val="24"/>
              </w:rPr>
            </w:pPr>
            <w:r>
              <w:rPr>
                <w:rFonts w:hint="eastAsia" w:ascii="仿宋" w:hAnsi="仿宋" w:eastAsia="仿宋" w:cs="仿宋"/>
                <w:kern w:val="0"/>
                <w:sz w:val="24"/>
                <w:szCs w:val="24"/>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995" w:type="dxa"/>
            <w:vMerge w:val="continue"/>
            <w:noWrap w:val="0"/>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b/>
                <w:kern w:val="0"/>
                <w:sz w:val="24"/>
                <w:szCs w:val="24"/>
              </w:rPr>
            </w:pPr>
          </w:p>
        </w:tc>
        <w:tc>
          <w:tcPr>
            <w:tcW w:w="7380" w:type="dxa"/>
            <w:gridSpan w:val="2"/>
            <w:noWrap w:val="0"/>
            <w:vAlign w:val="bottom"/>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kern w:val="0"/>
                <w:sz w:val="24"/>
                <w:szCs w:val="24"/>
              </w:rPr>
            </w:pPr>
            <w:r>
              <w:rPr>
                <w:rFonts w:hint="eastAsia" w:ascii="仿宋" w:hAnsi="仿宋" w:eastAsia="仿宋" w:cs="仿宋"/>
                <w:kern w:val="0"/>
                <w:sz w:val="24"/>
                <w:szCs w:val="24"/>
              </w:rPr>
              <w:t>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995" w:type="dxa"/>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b/>
                <w:kern w:val="0"/>
                <w:sz w:val="24"/>
                <w:szCs w:val="24"/>
              </w:rPr>
            </w:pPr>
            <w:r>
              <w:rPr>
                <w:rFonts w:hint="eastAsia" w:ascii="仿宋" w:hAnsi="仿宋" w:eastAsia="仿宋" w:cs="仿宋"/>
                <w:b/>
                <w:kern w:val="0"/>
                <w:sz w:val="24"/>
                <w:szCs w:val="24"/>
              </w:rPr>
              <w:t>合同履行期限</w:t>
            </w:r>
          </w:p>
        </w:tc>
        <w:tc>
          <w:tcPr>
            <w:tcW w:w="7380" w:type="dxa"/>
            <w:gridSpan w:val="2"/>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1995" w:type="dxa"/>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b/>
                <w:kern w:val="0"/>
                <w:sz w:val="24"/>
                <w:szCs w:val="24"/>
              </w:rPr>
            </w:pPr>
            <w:r>
              <w:rPr>
                <w:rFonts w:hint="eastAsia" w:ascii="仿宋" w:hAnsi="仿宋" w:eastAsia="仿宋" w:cs="仿宋"/>
                <w:b/>
                <w:kern w:val="0"/>
                <w:sz w:val="24"/>
                <w:szCs w:val="24"/>
              </w:rPr>
              <w:t>合同履行地点</w:t>
            </w:r>
          </w:p>
        </w:tc>
        <w:tc>
          <w:tcPr>
            <w:tcW w:w="7380" w:type="dxa"/>
            <w:gridSpan w:val="2"/>
            <w:noWrap w:val="0"/>
            <w:vAlign w:val="bottom"/>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0"/>
                <w:sz w:val="24"/>
                <w:szCs w:val="24"/>
              </w:rPr>
            </w:pPr>
          </w:p>
        </w:tc>
      </w:tr>
    </w:tbl>
    <w:p>
      <w:pPr>
        <w:spacing w:line="360" w:lineRule="auto"/>
        <w:rPr>
          <w:rFonts w:hint="eastAsia" w:ascii="仿宋" w:hAnsi="仿宋" w:eastAsia="仿宋" w:cs="仿宋"/>
          <w:sz w:val="24"/>
          <w:szCs w:val="24"/>
          <w:u w:val="single"/>
        </w:rPr>
      </w:pPr>
      <w:r>
        <w:rPr>
          <w:rFonts w:hint="eastAsia" w:ascii="仿宋" w:hAnsi="仿宋" w:eastAsia="仿宋" w:cs="仿宋"/>
          <w:sz w:val="24"/>
          <w:szCs w:val="24"/>
        </w:rPr>
        <w:t>注：</w:t>
      </w:r>
      <w:r>
        <w:rPr>
          <w:rFonts w:hint="eastAsia" w:ascii="仿宋" w:hAnsi="仿宋" w:eastAsia="仿宋" w:cs="仿宋"/>
          <w:b/>
          <w:sz w:val="24"/>
          <w:szCs w:val="24"/>
          <w:u w:val="single"/>
        </w:rPr>
        <w:t>1、响应一览表需单独封装，以备磋商会议之用，响应文件中也需提供。</w:t>
      </w:r>
    </w:p>
    <w:p>
      <w:pPr>
        <w:spacing w:line="360" w:lineRule="auto"/>
        <w:ind w:firstLine="580" w:firstLineChars="200"/>
        <w:rPr>
          <w:rFonts w:hint="eastAsia" w:ascii="仿宋" w:hAnsi="仿宋" w:eastAsia="仿宋" w:cs="仿宋"/>
          <w:sz w:val="24"/>
          <w:szCs w:val="24"/>
        </w:rPr>
      </w:pPr>
      <w:r>
        <w:rPr>
          <w:rFonts w:hint="eastAsia" w:ascii="仿宋" w:hAnsi="仿宋" w:eastAsia="仿宋" w:cs="仿宋"/>
          <w:b/>
          <w:sz w:val="24"/>
          <w:szCs w:val="24"/>
          <w:u w:val="single"/>
        </w:rPr>
        <w:t>2、响应一览表签字、盖章后和授权委托书、响应保证金转账单密封在小信封内，标明“响应一览表”字样，并将此小信封单独封装</w:t>
      </w:r>
      <w:r>
        <w:rPr>
          <w:rFonts w:hint="eastAsia" w:ascii="仿宋" w:hAnsi="仿宋" w:eastAsia="仿宋" w:cs="仿宋"/>
          <w:b/>
          <w:sz w:val="24"/>
          <w:szCs w:val="24"/>
        </w:rPr>
        <w:t>。</w:t>
      </w:r>
    </w:p>
    <w:p>
      <w:pPr>
        <w:spacing w:line="360" w:lineRule="auto"/>
        <w:ind w:firstLine="580" w:firstLineChars="200"/>
        <w:rPr>
          <w:rFonts w:hint="eastAsia" w:ascii="仿宋" w:hAnsi="仿宋" w:eastAsia="仿宋" w:cs="仿宋"/>
          <w:b/>
          <w:sz w:val="24"/>
          <w:szCs w:val="24"/>
          <w:u w:val="single"/>
        </w:rPr>
      </w:pPr>
      <w:r>
        <w:rPr>
          <w:rFonts w:hint="eastAsia" w:ascii="仿宋" w:hAnsi="仿宋" w:eastAsia="仿宋" w:cs="仿宋"/>
          <w:b/>
          <w:sz w:val="24"/>
          <w:szCs w:val="24"/>
          <w:u w:val="single"/>
        </w:rPr>
        <w:t>3、供应商根据竞争性磋商文件自行填制响应一览表。</w:t>
      </w:r>
    </w:p>
    <w:p>
      <w:pPr>
        <w:spacing w:line="360" w:lineRule="auto"/>
        <w:ind w:firstLine="580" w:firstLineChars="200"/>
        <w:rPr>
          <w:rFonts w:hint="eastAsia" w:ascii="仿宋" w:hAnsi="仿宋" w:eastAsia="仿宋" w:cs="仿宋"/>
          <w:b/>
          <w:sz w:val="24"/>
          <w:szCs w:val="24"/>
          <w:u w:val="single"/>
        </w:rPr>
      </w:pPr>
      <w:r>
        <w:rPr>
          <w:rFonts w:hint="eastAsia" w:ascii="仿宋" w:hAnsi="仿宋" w:eastAsia="仿宋" w:cs="仿宋"/>
          <w:b/>
          <w:sz w:val="24"/>
          <w:szCs w:val="24"/>
          <w:u w:val="single"/>
        </w:rPr>
        <w:t>4、响应一览表必须同时具有签字、盖章（鲜章）。</w:t>
      </w:r>
    </w:p>
    <w:p>
      <w:pPr>
        <w:spacing w:line="360" w:lineRule="auto"/>
        <w:ind w:firstLine="580" w:firstLineChars="200"/>
        <w:rPr>
          <w:rFonts w:hint="eastAsia" w:ascii="仿宋" w:hAnsi="仿宋" w:eastAsia="仿宋" w:cs="仿宋"/>
          <w:b/>
          <w:sz w:val="24"/>
          <w:szCs w:val="24"/>
          <w:u w:val="single"/>
        </w:rPr>
      </w:pPr>
      <w:r>
        <w:rPr>
          <w:rFonts w:hint="eastAsia" w:ascii="仿宋" w:hAnsi="仿宋" w:eastAsia="仿宋" w:cs="仿宋"/>
          <w:b/>
          <w:sz w:val="24"/>
          <w:szCs w:val="24"/>
          <w:u w:val="single"/>
        </w:rPr>
        <w:t>5、响应一览表的报价必须同时具有到大小写。</w:t>
      </w:r>
    </w:p>
    <w:p>
      <w:pPr>
        <w:spacing w:line="360" w:lineRule="auto"/>
        <w:ind w:firstLine="580" w:firstLineChars="200"/>
        <w:rPr>
          <w:rFonts w:hint="eastAsia" w:ascii="仿宋" w:hAnsi="仿宋" w:eastAsia="仿宋" w:cs="仿宋"/>
          <w:b/>
          <w:sz w:val="24"/>
          <w:szCs w:val="24"/>
          <w:u w:val="single"/>
        </w:rPr>
      </w:pPr>
      <w:r>
        <w:rPr>
          <w:rFonts w:hint="eastAsia" w:ascii="仿宋" w:hAnsi="仿宋" w:eastAsia="仿宋" w:cs="仿宋"/>
          <w:b/>
          <w:sz w:val="24"/>
          <w:szCs w:val="24"/>
          <w:u w:val="single"/>
        </w:rPr>
        <w:t>6、响应一览表报价总价、单价以人民币元为单位。</w:t>
      </w:r>
    </w:p>
    <w:p>
      <w:pPr>
        <w:spacing w:line="360" w:lineRule="auto"/>
        <w:ind w:firstLine="580" w:firstLineChars="200"/>
        <w:rPr>
          <w:rFonts w:hint="eastAsia" w:ascii="仿宋" w:hAnsi="仿宋" w:eastAsia="仿宋" w:cs="仿宋"/>
          <w:b/>
          <w:sz w:val="24"/>
          <w:szCs w:val="24"/>
          <w:u w:val="single"/>
        </w:rPr>
      </w:pPr>
      <w:r>
        <w:rPr>
          <w:rFonts w:hint="eastAsia" w:ascii="仿宋" w:hAnsi="仿宋" w:eastAsia="仿宋" w:cs="仿宋"/>
          <w:b/>
          <w:sz w:val="24"/>
          <w:szCs w:val="24"/>
          <w:u w:val="single"/>
        </w:rPr>
        <w:t>7、响应一览表中的资料也需胶装在响应文件中。</w:t>
      </w:r>
    </w:p>
    <w:p>
      <w:pPr>
        <w:pStyle w:val="19"/>
        <w:spacing w:line="360" w:lineRule="auto"/>
        <w:rPr>
          <w:rFonts w:hint="eastAsia" w:ascii="仿宋" w:hAnsi="仿宋" w:eastAsia="仿宋" w:cs="仿宋"/>
        </w:rPr>
        <w:sectPr>
          <w:headerReference r:id="rId14" w:type="first"/>
          <w:footerReference r:id="rId17" w:type="first"/>
          <w:headerReference r:id="rId12" w:type="default"/>
          <w:footerReference r:id="rId15" w:type="default"/>
          <w:headerReference r:id="rId13" w:type="even"/>
          <w:footerReference r:id="rId16" w:type="even"/>
          <w:pgSz w:w="11907" w:h="16839"/>
          <w:pgMar w:top="1361" w:right="1191" w:bottom="1361" w:left="1247" w:header="851" w:footer="992" w:gutter="0"/>
          <w:pgBorders>
            <w:top w:val="none" w:sz="0" w:space="0"/>
            <w:left w:val="none" w:sz="0" w:space="0"/>
            <w:bottom w:val="none" w:sz="0" w:space="0"/>
            <w:right w:val="none" w:sz="0" w:space="0"/>
          </w:pgBorders>
          <w:cols w:space="720" w:num="1"/>
          <w:titlePg/>
          <w:docGrid w:type="linesAndChars" w:linePitch="286" w:charSpace="10240"/>
        </w:sectPr>
      </w:pPr>
      <w:r>
        <w:rPr>
          <w:rFonts w:hint="eastAsia" w:ascii="仿宋" w:hAnsi="仿宋" w:eastAsia="仿宋" w:cs="仿宋"/>
        </w:rPr>
        <w:t xml:space="preserve"> </w:t>
      </w:r>
    </w:p>
    <w:bookmarkEnd w:id="168"/>
    <w:bookmarkEnd w:id="169"/>
    <w:bookmarkEnd w:id="170"/>
    <w:bookmarkEnd w:id="171"/>
    <w:bookmarkEnd w:id="172"/>
    <w:p>
      <w:pPr>
        <w:pStyle w:val="6"/>
        <w:spacing w:line="360" w:lineRule="auto"/>
        <w:rPr>
          <w:rFonts w:hint="eastAsia" w:ascii="仿宋" w:hAnsi="仿宋" w:eastAsia="仿宋" w:cs="仿宋"/>
        </w:rPr>
      </w:pPr>
      <w:bookmarkStart w:id="175" w:name="_Toc31934"/>
      <w:r>
        <w:rPr>
          <w:rFonts w:hint="eastAsia" w:ascii="仿宋" w:hAnsi="仿宋" w:eastAsia="仿宋" w:cs="仿宋"/>
        </w:rPr>
        <w:t>2、报价明细表</w:t>
      </w:r>
      <w:bookmarkEnd w:id="175"/>
    </w:p>
    <w:p>
      <w:pPr>
        <w:spacing w:line="360" w:lineRule="auto"/>
        <w:ind w:firstLine="480" w:firstLineChars="200"/>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格式自拟</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autoSpaceDE w:val="0"/>
        <w:autoSpaceDN w:val="0"/>
        <w:adjustRightInd w:val="0"/>
        <w:spacing w:after="200" w:line="360" w:lineRule="auto"/>
        <w:jc w:val="left"/>
        <w:rPr>
          <w:rFonts w:hint="eastAsia" w:ascii="仿宋" w:hAnsi="仿宋" w:eastAsia="仿宋" w:cs="仿宋"/>
          <w:kern w:val="0"/>
          <w:sz w:val="24"/>
          <w:szCs w:val="24"/>
          <w:lang w:val="zh-CN"/>
        </w:rPr>
      </w:pPr>
      <w:bookmarkStart w:id="176" w:name="_Toc344475822"/>
    </w:p>
    <w:bookmarkEnd w:id="173"/>
    <w:bookmarkEnd w:id="174"/>
    <w:bookmarkEnd w:id="176"/>
    <w:p>
      <w:pPr>
        <w:pStyle w:val="6"/>
        <w:spacing w:line="360" w:lineRule="auto"/>
        <w:rPr>
          <w:rFonts w:hint="eastAsia" w:ascii="仿宋" w:hAnsi="仿宋" w:eastAsia="仿宋" w:cs="仿宋"/>
        </w:rPr>
      </w:pPr>
      <w:bookmarkStart w:id="177" w:name="_Toc344475823"/>
      <w:bookmarkStart w:id="178" w:name="_Toc471327971"/>
      <w:r>
        <w:rPr>
          <w:rFonts w:hint="eastAsia" w:ascii="仿宋" w:hAnsi="仿宋" w:eastAsia="仿宋" w:cs="仿宋"/>
        </w:rPr>
        <w:br w:type="page"/>
      </w:r>
      <w:r>
        <w:rPr>
          <w:rFonts w:hint="eastAsia" w:ascii="仿宋" w:hAnsi="仿宋" w:eastAsia="仿宋" w:cs="仿宋"/>
        </w:rPr>
        <w:t>3、授权委托书</w:t>
      </w:r>
      <w:bookmarkEnd w:id="177"/>
      <w:bookmarkEnd w:id="178"/>
    </w:p>
    <w:p>
      <w:pPr>
        <w:spacing w:line="360" w:lineRule="auto"/>
        <w:ind w:firstLine="99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省（市）</w:t>
      </w:r>
      <w:r>
        <w:rPr>
          <w:rFonts w:hint="eastAsia" w:ascii="仿宋" w:hAnsi="仿宋" w:eastAsia="仿宋" w:cs="仿宋"/>
          <w:sz w:val="24"/>
          <w:szCs w:val="24"/>
        </w:rPr>
        <w:t xml:space="preserve"> 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公司的（法人代表姓名、职务）代本公司授予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(被授权人的姓名、职务)为公司的合法代理人，就竞争性磋商编号为</w:t>
      </w:r>
      <w:r>
        <w:rPr>
          <w:rFonts w:hint="eastAsia" w:ascii="仿宋" w:hAnsi="仿宋" w:eastAsia="仿宋" w:cs="仿宋"/>
          <w:sz w:val="24"/>
          <w:szCs w:val="24"/>
          <w:u w:val="single"/>
        </w:rPr>
        <w:t>________</w:t>
      </w:r>
      <w:r>
        <w:rPr>
          <w:rFonts w:hint="eastAsia" w:ascii="仿宋" w:hAnsi="仿宋" w:eastAsia="仿宋" w:cs="仿宋"/>
          <w:sz w:val="24"/>
          <w:szCs w:val="24"/>
        </w:rPr>
        <w:t>的_</w:t>
      </w:r>
      <w:r>
        <w:rPr>
          <w:rFonts w:hint="eastAsia" w:ascii="仿宋" w:hAnsi="仿宋" w:eastAsia="仿宋" w:cs="仿宋"/>
          <w:sz w:val="24"/>
          <w:szCs w:val="24"/>
          <w:u w:val="single"/>
        </w:rPr>
        <w:t>________</w:t>
      </w:r>
      <w:r>
        <w:rPr>
          <w:rFonts w:hint="eastAsia" w:ascii="仿宋" w:hAnsi="仿宋" w:eastAsia="仿宋" w:cs="仿宋"/>
          <w:sz w:val="24"/>
          <w:szCs w:val="24"/>
        </w:rPr>
        <w:t>项目响应及合同的执行、完成，以本公司名义处理一切与之有关的事务。</w:t>
      </w:r>
    </w:p>
    <w:p>
      <w:pPr>
        <w:spacing w:line="360" w:lineRule="auto"/>
        <w:ind w:firstLine="660"/>
        <w:rPr>
          <w:rFonts w:hint="eastAsia" w:ascii="仿宋" w:hAnsi="仿宋" w:eastAsia="仿宋" w:cs="仿宋"/>
          <w:sz w:val="24"/>
          <w:szCs w:val="24"/>
        </w:rPr>
      </w:pPr>
    </w:p>
    <w:p>
      <w:pPr>
        <w:spacing w:line="360" w:lineRule="auto"/>
        <w:ind w:firstLine="660"/>
        <w:rPr>
          <w:rFonts w:hint="eastAsia" w:ascii="仿宋" w:hAnsi="仿宋" w:eastAsia="仿宋" w:cs="仿宋"/>
          <w:sz w:val="24"/>
          <w:szCs w:val="24"/>
        </w:rPr>
      </w:pPr>
    </w:p>
    <w:p>
      <w:pPr>
        <w:spacing w:line="360" w:lineRule="auto"/>
        <w:ind w:firstLine="660"/>
        <w:rPr>
          <w:rFonts w:hint="eastAsia" w:ascii="仿宋" w:hAnsi="仿宋" w:eastAsia="仿宋" w:cs="仿宋"/>
          <w:sz w:val="24"/>
          <w:szCs w:val="24"/>
        </w:rPr>
      </w:pPr>
    </w:p>
    <w:p>
      <w:pPr>
        <w:spacing w:line="360" w:lineRule="auto"/>
        <w:ind w:firstLine="660"/>
        <w:rPr>
          <w:rFonts w:hint="eastAsia" w:ascii="仿宋" w:hAnsi="仿宋" w:eastAsia="仿宋" w:cs="仿宋"/>
          <w:sz w:val="24"/>
          <w:szCs w:val="24"/>
        </w:rPr>
      </w:pPr>
      <w:r>
        <w:rPr>
          <w:rFonts w:hint="eastAsia" w:ascii="仿宋" w:hAnsi="仿宋" w:eastAsia="仿宋" w:cs="仿宋"/>
          <w:sz w:val="24"/>
          <w:szCs w:val="24"/>
        </w:rPr>
        <w:t>本授权书于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日签字生效，特此声明。</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u w:val="single"/>
        </w:rPr>
      </w:pPr>
      <w:r>
        <w:rPr>
          <w:rFonts w:hint="eastAsia" w:ascii="仿宋" w:hAnsi="仿宋" w:eastAsia="仿宋" w:cs="仿宋"/>
          <w:sz w:val="24"/>
          <w:szCs w:val="24"/>
        </w:rPr>
        <w:t>代理人(被授权人)签字：</w:t>
      </w:r>
      <w:r>
        <w:rPr>
          <w:rFonts w:hint="eastAsia" w:ascii="仿宋" w:hAnsi="仿宋" w:eastAsia="仿宋" w:cs="仿宋"/>
          <w:sz w:val="24"/>
          <w:szCs w:val="24"/>
          <w:u w:val="single"/>
        </w:rPr>
        <w:t xml:space="preserve">                    </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jc w:val="right"/>
        <w:rPr>
          <w:rFonts w:hint="eastAsia" w:ascii="仿宋" w:hAnsi="仿宋" w:eastAsia="仿宋" w:cs="仿宋"/>
          <w:sz w:val="24"/>
          <w:szCs w:val="24"/>
          <w:u w:val="single"/>
        </w:rPr>
      </w:pPr>
      <w:r>
        <w:rPr>
          <w:rFonts w:hint="eastAsia" w:ascii="仿宋" w:hAnsi="仿宋" w:eastAsia="仿宋" w:cs="仿宋"/>
          <w:sz w:val="24"/>
          <w:szCs w:val="24"/>
        </w:rPr>
        <w:t>单位：</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pPr>
        <w:spacing w:line="360" w:lineRule="auto"/>
        <w:rPr>
          <w:rFonts w:hint="eastAsia" w:ascii="仿宋" w:hAnsi="仿宋" w:eastAsia="仿宋" w:cs="仿宋"/>
          <w:sz w:val="24"/>
          <w:szCs w:val="24"/>
          <w:u w:val="single"/>
        </w:rPr>
      </w:pPr>
    </w:p>
    <w:p>
      <w:pPr>
        <w:wordWrap w:val="0"/>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年   月   日     </w:t>
      </w:r>
    </w:p>
    <w:p>
      <w:pPr>
        <w:spacing w:line="360" w:lineRule="auto"/>
        <w:jc w:val="right"/>
        <w:rPr>
          <w:rFonts w:hint="eastAsia" w:ascii="仿宋" w:hAnsi="仿宋" w:eastAsia="仿宋" w:cs="仿宋"/>
          <w:sz w:val="24"/>
          <w:szCs w:val="24"/>
        </w:rPr>
      </w:pPr>
    </w:p>
    <w:p>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后附：法定代表人和授权人身份证复印件       </w:t>
      </w:r>
    </w:p>
    <w:p>
      <w:pPr>
        <w:spacing w:line="360" w:lineRule="auto"/>
        <w:ind w:firstLine="4524" w:firstLineChars="1885"/>
        <w:rPr>
          <w:rFonts w:hint="eastAsia" w:ascii="仿宋" w:hAnsi="仿宋" w:eastAsia="仿宋" w:cs="仿宋"/>
          <w:sz w:val="24"/>
          <w:szCs w:val="24"/>
        </w:rPr>
      </w:pPr>
      <w:r>
        <w:rPr>
          <w:rFonts w:hint="eastAsia" w:ascii="仿宋" w:hAnsi="仿宋" w:eastAsia="仿宋" w:cs="仿宋"/>
          <w:sz w:val="24"/>
          <w:szCs w:val="24"/>
        </w:rPr>
        <w:t xml:space="preserve"> </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pStyle w:val="6"/>
        <w:spacing w:line="360" w:lineRule="auto"/>
        <w:jc w:val="center"/>
        <w:rPr>
          <w:rFonts w:hint="eastAsia" w:ascii="仿宋" w:hAnsi="仿宋" w:eastAsia="仿宋" w:cs="仿宋"/>
        </w:rPr>
      </w:pPr>
      <w:bookmarkStart w:id="179" w:name="_Toc471327972"/>
      <w:bookmarkStart w:id="180" w:name="_Toc344475824"/>
      <w:r>
        <w:rPr>
          <w:rFonts w:hint="eastAsia" w:ascii="仿宋" w:hAnsi="仿宋" w:eastAsia="仿宋" w:cs="仿宋"/>
        </w:rPr>
        <w:t>4、响应保证金</w:t>
      </w:r>
      <w:bookmarkEnd w:id="179"/>
      <w:bookmarkEnd w:id="180"/>
    </w:p>
    <w:p>
      <w:pPr>
        <w:spacing w:line="360" w:lineRule="auto"/>
        <w:ind w:firstLine="3951" w:firstLineChars="1640"/>
        <w:rPr>
          <w:rFonts w:hint="eastAsia" w:ascii="仿宋" w:hAnsi="仿宋" w:eastAsia="仿宋" w:cs="仿宋"/>
          <w:b/>
          <w:sz w:val="24"/>
          <w:szCs w:val="24"/>
        </w:rPr>
      </w:pPr>
    </w:p>
    <w:p>
      <w:pPr>
        <w:spacing w:line="360" w:lineRule="auto"/>
        <w:ind w:firstLine="3951" w:firstLineChars="1640"/>
        <w:rPr>
          <w:rFonts w:hint="eastAsia" w:ascii="仿宋" w:hAnsi="仿宋" w:eastAsia="仿宋" w:cs="仿宋"/>
          <w:b/>
          <w:sz w:val="24"/>
          <w:szCs w:val="24"/>
        </w:rPr>
      </w:pPr>
    </w:p>
    <w:p>
      <w:pPr>
        <w:spacing w:line="360" w:lineRule="auto"/>
        <w:ind w:firstLine="3951" w:firstLineChars="1640"/>
        <w:rPr>
          <w:rFonts w:hint="eastAsia" w:ascii="仿宋" w:hAnsi="仿宋" w:eastAsia="仿宋" w:cs="仿宋"/>
          <w:b/>
          <w:sz w:val="24"/>
          <w:szCs w:val="24"/>
        </w:rPr>
      </w:pPr>
    </w:p>
    <w:p>
      <w:pPr>
        <w:spacing w:line="360" w:lineRule="auto"/>
        <w:ind w:firstLine="3951" w:firstLineChars="1640"/>
        <w:rPr>
          <w:rFonts w:hint="eastAsia" w:ascii="仿宋" w:hAnsi="仿宋" w:eastAsia="仿宋" w:cs="仿宋"/>
          <w:b/>
          <w:sz w:val="24"/>
          <w:szCs w:val="24"/>
        </w:rPr>
      </w:pP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粘</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贴</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提</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交</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响</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应</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保</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证</w:t>
      </w:r>
    </w:p>
    <w:p>
      <w:pPr>
        <w:spacing w:line="360" w:lineRule="auto"/>
        <w:ind w:firstLine="3951" w:firstLineChars="1640"/>
        <w:rPr>
          <w:rFonts w:hint="eastAsia" w:ascii="仿宋" w:hAnsi="仿宋" w:eastAsia="仿宋" w:cs="仿宋"/>
          <w:b/>
          <w:sz w:val="24"/>
          <w:szCs w:val="24"/>
        </w:rPr>
      </w:pPr>
      <w:r>
        <w:rPr>
          <w:rFonts w:hint="eastAsia" w:ascii="仿宋" w:hAnsi="仿宋" w:eastAsia="仿宋" w:cs="仿宋"/>
          <w:b/>
          <w:sz w:val="24"/>
          <w:szCs w:val="24"/>
        </w:rPr>
        <w:t>金</w:t>
      </w:r>
    </w:p>
    <w:p>
      <w:pPr>
        <w:spacing w:line="360" w:lineRule="auto"/>
        <w:ind w:firstLine="3975" w:firstLineChars="1650"/>
        <w:rPr>
          <w:rFonts w:hint="eastAsia" w:ascii="仿宋" w:hAnsi="仿宋" w:eastAsia="仿宋" w:cs="仿宋"/>
          <w:b/>
          <w:sz w:val="24"/>
          <w:szCs w:val="24"/>
        </w:rPr>
      </w:pPr>
      <w:r>
        <w:rPr>
          <w:rFonts w:hint="eastAsia" w:ascii="仿宋" w:hAnsi="仿宋" w:eastAsia="仿宋" w:cs="仿宋"/>
          <w:b/>
          <w:sz w:val="24"/>
          <w:szCs w:val="24"/>
        </w:rPr>
        <w:t>凭</w:t>
      </w:r>
    </w:p>
    <w:p>
      <w:pPr>
        <w:spacing w:line="360" w:lineRule="auto"/>
        <w:ind w:firstLine="3975" w:firstLineChars="1650"/>
        <w:rPr>
          <w:rFonts w:hint="eastAsia" w:ascii="仿宋" w:hAnsi="仿宋" w:eastAsia="仿宋" w:cs="仿宋"/>
          <w:b/>
          <w:sz w:val="24"/>
          <w:szCs w:val="24"/>
        </w:rPr>
      </w:pPr>
      <w:r>
        <w:rPr>
          <w:rFonts w:hint="eastAsia" w:ascii="仿宋" w:hAnsi="仿宋" w:eastAsia="仿宋" w:cs="仿宋"/>
          <w:b/>
          <w:sz w:val="24"/>
          <w:szCs w:val="24"/>
        </w:rPr>
        <w:t>据</w:t>
      </w:r>
    </w:p>
    <w:p>
      <w:pPr>
        <w:spacing w:line="360" w:lineRule="auto"/>
        <w:ind w:firstLine="241" w:firstLineChars="100"/>
        <w:rPr>
          <w:rFonts w:hint="eastAsia" w:ascii="仿宋" w:hAnsi="仿宋" w:eastAsia="仿宋" w:cs="仿宋"/>
          <w:b/>
          <w:sz w:val="24"/>
          <w:szCs w:val="24"/>
        </w:rPr>
      </w:pPr>
    </w:p>
    <w:p>
      <w:pPr>
        <w:spacing w:line="360" w:lineRule="auto"/>
        <w:ind w:firstLine="482" w:firstLineChars="200"/>
        <w:jc w:val="center"/>
        <w:rPr>
          <w:rFonts w:hint="eastAsia" w:ascii="仿宋" w:hAnsi="仿宋" w:eastAsia="仿宋" w:cs="仿宋"/>
          <w:b/>
          <w:bCs/>
          <w:sz w:val="24"/>
          <w:szCs w:val="24"/>
        </w:rPr>
      </w:pPr>
    </w:p>
    <w:p>
      <w:pPr>
        <w:spacing w:line="360" w:lineRule="auto"/>
        <w:ind w:firstLine="240" w:firstLineChars="100"/>
        <w:rPr>
          <w:rFonts w:hint="eastAsia" w:ascii="仿宋" w:hAnsi="仿宋" w:eastAsia="仿宋" w:cs="仿宋"/>
          <w:sz w:val="24"/>
          <w:szCs w:val="24"/>
        </w:rPr>
      </w:pPr>
    </w:p>
    <w:p>
      <w:pPr>
        <w:spacing w:line="360" w:lineRule="auto"/>
        <w:ind w:firstLine="240" w:firstLineChars="100"/>
        <w:rPr>
          <w:rFonts w:hint="eastAsia" w:ascii="仿宋" w:hAnsi="仿宋" w:eastAsia="仿宋" w:cs="仿宋"/>
          <w:sz w:val="24"/>
          <w:szCs w:val="24"/>
        </w:rPr>
      </w:pPr>
    </w:p>
    <w:p>
      <w:pPr>
        <w:pStyle w:val="6"/>
        <w:spacing w:line="360" w:lineRule="auto"/>
        <w:jc w:val="both"/>
        <w:rPr>
          <w:rFonts w:hint="eastAsia" w:ascii="仿宋" w:hAnsi="仿宋" w:eastAsia="仿宋" w:cs="仿宋"/>
        </w:rPr>
      </w:pPr>
      <w:bookmarkStart w:id="181" w:name="_Toc259550888"/>
      <w:bookmarkStart w:id="182" w:name="_Toc275859700"/>
      <w:bookmarkStart w:id="183" w:name="_Toc259609580"/>
      <w:bookmarkStart w:id="184" w:name="_Toc259548581"/>
      <w:r>
        <w:rPr>
          <w:rFonts w:hint="eastAsia" w:ascii="仿宋" w:hAnsi="仿宋" w:eastAsia="仿宋" w:cs="仿宋"/>
        </w:rPr>
        <w:br w:type="page"/>
      </w:r>
      <w:bookmarkEnd w:id="181"/>
      <w:bookmarkEnd w:id="182"/>
      <w:bookmarkEnd w:id="183"/>
      <w:bookmarkEnd w:id="184"/>
      <w:bookmarkStart w:id="185" w:name="_Toc471327973"/>
      <w:bookmarkStart w:id="186" w:name="_Toc344475826"/>
      <w:bookmarkStart w:id="187" w:name="_Toc259609582"/>
      <w:bookmarkStart w:id="188" w:name="_Toc259550890"/>
      <w:bookmarkStart w:id="189" w:name="_Toc259548583"/>
      <w:bookmarkStart w:id="190" w:name="_Toc275859702"/>
      <w:r>
        <w:rPr>
          <w:rFonts w:hint="eastAsia" w:ascii="仿宋" w:hAnsi="仿宋" w:eastAsia="仿宋" w:cs="仿宋"/>
        </w:rPr>
        <w:t>5、</w:t>
      </w:r>
      <w:bookmarkEnd w:id="185"/>
      <w:bookmarkEnd w:id="186"/>
      <w:r>
        <w:rPr>
          <w:rFonts w:hint="eastAsia" w:ascii="仿宋" w:hAnsi="仿宋" w:eastAsia="仿宋" w:cs="仿宋"/>
        </w:rPr>
        <w:t>企业情况</w:t>
      </w:r>
    </w:p>
    <w:tbl>
      <w:tblPr>
        <w:tblStyle w:val="42"/>
        <w:tblW w:w="0" w:type="auto"/>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785"/>
        <w:gridCol w:w="1065"/>
        <w:gridCol w:w="240"/>
        <w:gridCol w:w="1560"/>
        <w:gridCol w:w="990"/>
        <w:gridCol w:w="1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589"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企业名称</w:t>
            </w:r>
          </w:p>
        </w:tc>
        <w:tc>
          <w:tcPr>
            <w:tcW w:w="3090"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负责人</w:t>
            </w:r>
          </w:p>
        </w:tc>
        <w:tc>
          <w:tcPr>
            <w:tcW w:w="239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589"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3090"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邮政编码</w:t>
            </w:r>
          </w:p>
        </w:tc>
        <w:tc>
          <w:tcPr>
            <w:tcW w:w="239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589"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1785"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c>
          <w:tcPr>
            <w:tcW w:w="1065"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电话</w:t>
            </w:r>
          </w:p>
        </w:tc>
        <w:tc>
          <w:tcPr>
            <w:tcW w:w="1800"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c>
          <w:tcPr>
            <w:tcW w:w="990"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传真</w:t>
            </w:r>
          </w:p>
        </w:tc>
        <w:tc>
          <w:tcPr>
            <w:tcW w:w="1401"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7" w:hRule="atLeast"/>
        </w:trPr>
        <w:tc>
          <w:tcPr>
            <w:tcW w:w="1589"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rPr>
            </w:pPr>
            <w:r>
              <w:rPr>
                <w:rFonts w:hint="eastAsia" w:ascii="仿宋" w:hAnsi="仿宋" w:eastAsia="仿宋" w:cs="仿宋"/>
                <w:sz w:val="24"/>
                <w:szCs w:val="24"/>
              </w:rPr>
              <w:t>企业简介</w:t>
            </w:r>
          </w:p>
        </w:tc>
        <w:tc>
          <w:tcPr>
            <w:tcW w:w="7041" w:type="dxa"/>
            <w:gridSpan w:val="6"/>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rPr>
            </w:pPr>
          </w:p>
        </w:tc>
      </w:tr>
    </w:tbl>
    <w:p>
      <w:pPr>
        <w:spacing w:line="360" w:lineRule="auto"/>
        <w:rPr>
          <w:rFonts w:hint="eastAsia" w:ascii="仿宋" w:hAnsi="仿宋" w:eastAsia="仿宋" w:cs="仿宋"/>
          <w:sz w:val="24"/>
          <w:szCs w:val="24"/>
        </w:rPr>
      </w:pPr>
    </w:p>
    <w:p>
      <w:pPr>
        <w:spacing w:line="360" w:lineRule="auto"/>
        <w:jc w:val="right"/>
        <w:rPr>
          <w:rFonts w:hint="eastAsia" w:ascii="仿宋" w:hAnsi="仿宋" w:eastAsia="仿宋" w:cs="仿宋"/>
          <w:sz w:val="24"/>
          <w:szCs w:val="24"/>
        </w:rPr>
      </w:pPr>
    </w:p>
    <w:p>
      <w:pPr>
        <w:spacing w:line="360" w:lineRule="auto"/>
        <w:jc w:val="right"/>
        <w:rPr>
          <w:rFonts w:hint="eastAsia" w:ascii="仿宋" w:hAnsi="仿宋" w:eastAsia="仿宋" w:cs="仿宋"/>
          <w:sz w:val="24"/>
          <w:szCs w:val="24"/>
        </w:rPr>
      </w:pPr>
      <w:r>
        <w:rPr>
          <w:rFonts w:hint="eastAsia" w:ascii="仿宋" w:hAnsi="仿宋" w:eastAsia="仿宋" w:cs="仿宋"/>
          <w:bCs/>
          <w:sz w:val="24"/>
          <w:szCs w:val="24"/>
        </w:rPr>
        <w:t>供应商单位名称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pPr>
        <w:spacing w:line="360" w:lineRule="auto"/>
        <w:jc w:val="right"/>
        <w:rPr>
          <w:rFonts w:hint="eastAsia" w:ascii="仿宋" w:hAnsi="仿宋" w:eastAsia="仿宋" w:cs="仿宋"/>
          <w:sz w:val="24"/>
          <w:szCs w:val="24"/>
          <w:u w:val="single"/>
        </w:rPr>
      </w:pPr>
      <w:r>
        <w:rPr>
          <w:rFonts w:hint="eastAsia" w:ascii="仿宋" w:hAnsi="仿宋" w:eastAsia="仿宋" w:cs="仿宋"/>
          <w:bCs/>
          <w:sz w:val="24"/>
          <w:szCs w:val="24"/>
        </w:rPr>
        <w:t>法定代表人或授权代理人签字：</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pPr>
        <w:spacing w:line="360" w:lineRule="auto"/>
        <w:jc w:val="right"/>
        <w:rPr>
          <w:rFonts w:hint="eastAsia" w:ascii="仿宋" w:hAnsi="仿宋" w:eastAsia="仿宋" w:cs="仿宋"/>
          <w:sz w:val="24"/>
          <w:szCs w:val="24"/>
        </w:rPr>
      </w:pPr>
    </w:p>
    <w:p>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w:t>
      </w:r>
      <w:bookmarkStart w:id="191" w:name="_Toc426464109"/>
      <w:r>
        <w:rPr>
          <w:rFonts w:hint="eastAsia" w:ascii="仿宋" w:hAnsi="仿宋" w:eastAsia="仿宋" w:cs="仿宋"/>
          <w:sz w:val="24"/>
          <w:szCs w:val="24"/>
        </w:rPr>
        <w:t>年   月   日</w:t>
      </w:r>
      <w:bookmarkEnd w:id="191"/>
      <w:r>
        <w:rPr>
          <w:rFonts w:hint="eastAsia" w:ascii="仿宋" w:hAnsi="仿宋" w:eastAsia="仿宋" w:cs="仿宋"/>
          <w:sz w:val="24"/>
          <w:szCs w:val="24"/>
        </w:rPr>
        <w:t xml:space="preserve">   </w:t>
      </w:r>
    </w:p>
    <w:p>
      <w:pPr>
        <w:rPr>
          <w:rFonts w:hint="eastAsia" w:ascii="仿宋" w:hAnsi="仿宋" w:eastAsia="仿宋" w:cs="仿宋"/>
          <w:sz w:val="24"/>
          <w:szCs w:val="24"/>
        </w:rPr>
      </w:pPr>
      <w:r>
        <w:rPr>
          <w:rFonts w:hint="eastAsia" w:ascii="仿宋" w:hAnsi="仿宋" w:eastAsia="仿宋" w:cs="仿宋"/>
          <w:sz w:val="24"/>
          <w:szCs w:val="24"/>
        </w:rPr>
        <w:br w:type="page"/>
      </w:r>
    </w:p>
    <w:p>
      <w:pPr>
        <w:pStyle w:val="6"/>
        <w:spacing w:line="360" w:lineRule="auto"/>
        <w:rPr>
          <w:rFonts w:hint="eastAsia" w:ascii="仿宋" w:hAnsi="仿宋" w:eastAsia="仿宋" w:cs="仿宋"/>
        </w:rPr>
      </w:pPr>
      <w:r>
        <w:rPr>
          <w:rFonts w:hint="eastAsia" w:ascii="仿宋" w:hAnsi="仿宋" w:eastAsia="仿宋" w:cs="仿宋"/>
        </w:rPr>
        <w:t>6、证明文件</w:t>
      </w:r>
    </w:p>
    <w:p>
      <w:pPr>
        <w:pStyle w:val="62"/>
        <w:spacing w:line="360" w:lineRule="auto"/>
        <w:ind w:firstLine="482"/>
        <w:rPr>
          <w:rFonts w:hint="eastAsia" w:ascii="仿宋" w:hAnsi="仿宋" w:eastAsia="仿宋" w:cs="仿宋"/>
          <w:b/>
          <w:bCs/>
        </w:rPr>
      </w:pPr>
    </w:p>
    <w:p>
      <w:pPr>
        <w:pStyle w:val="62"/>
        <w:spacing w:line="360" w:lineRule="auto"/>
        <w:ind w:firstLine="482"/>
        <w:rPr>
          <w:rFonts w:hint="eastAsia" w:ascii="仿宋" w:hAnsi="仿宋" w:eastAsia="仿宋" w:cs="仿宋"/>
          <w:b/>
          <w:bCs/>
        </w:rPr>
      </w:pPr>
      <w:r>
        <w:rPr>
          <w:rFonts w:hint="eastAsia" w:ascii="仿宋" w:hAnsi="仿宋" w:eastAsia="仿宋" w:cs="仿宋"/>
          <w:b/>
          <w:bCs/>
        </w:rPr>
        <w:t>供应商应提供下列资格证明文件：</w:t>
      </w:r>
    </w:p>
    <w:p>
      <w:pPr>
        <w:pStyle w:val="62"/>
        <w:spacing w:line="360" w:lineRule="auto"/>
        <w:ind w:firstLine="480"/>
        <w:rPr>
          <w:rFonts w:hint="eastAsia" w:ascii="仿宋" w:hAnsi="仿宋" w:eastAsia="仿宋" w:cs="仿宋"/>
        </w:rPr>
      </w:pPr>
      <w:r>
        <w:rPr>
          <w:rFonts w:hint="eastAsia" w:ascii="仿宋" w:hAnsi="仿宋" w:eastAsia="仿宋" w:cs="仿宋"/>
        </w:rPr>
        <w:t>1营业执照：是否有效。</w:t>
      </w:r>
    </w:p>
    <w:p>
      <w:pPr>
        <w:pStyle w:val="62"/>
        <w:spacing w:line="360" w:lineRule="auto"/>
        <w:ind w:firstLine="480"/>
        <w:rPr>
          <w:rFonts w:hint="eastAsia" w:ascii="仿宋" w:hAnsi="仿宋" w:eastAsia="仿宋" w:cs="仿宋"/>
        </w:rPr>
      </w:pPr>
      <w:r>
        <w:rPr>
          <w:rFonts w:hint="eastAsia" w:ascii="仿宋" w:hAnsi="仿宋" w:eastAsia="仿宋" w:cs="仿宋"/>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62"/>
        <w:spacing w:line="360" w:lineRule="auto"/>
        <w:ind w:firstLine="480"/>
        <w:rPr>
          <w:rFonts w:hint="eastAsia" w:ascii="仿宋" w:hAnsi="仿宋" w:eastAsia="仿宋" w:cs="仿宋"/>
        </w:rPr>
      </w:pPr>
      <w:r>
        <w:rPr>
          <w:rFonts w:hint="eastAsia" w:ascii="仿宋" w:hAnsi="仿宋" w:eastAsia="仿宋" w:cs="仿宋"/>
        </w:rPr>
        <w:t>3</w:t>
      </w:r>
      <w:r>
        <w:rPr>
          <w:rFonts w:hint="eastAsia" w:ascii="仿宋" w:hAnsi="仿宋" w:eastAsia="仿宋" w:cs="仿宋"/>
          <w:szCs w:val="21"/>
        </w:rPr>
        <w:t>供应商参加政府采购活动前三年内，在经营活动中没有重大违法记录</w:t>
      </w:r>
      <w:r>
        <w:rPr>
          <w:rFonts w:hint="eastAsia" w:ascii="仿宋" w:hAnsi="仿宋" w:eastAsia="仿宋" w:cs="仿宋"/>
        </w:rPr>
        <w:t>。</w:t>
      </w:r>
    </w:p>
    <w:p>
      <w:pPr>
        <w:pStyle w:val="62"/>
        <w:spacing w:line="360" w:lineRule="auto"/>
        <w:ind w:firstLine="480"/>
        <w:rPr>
          <w:rFonts w:hint="eastAsia" w:ascii="仿宋" w:hAnsi="仿宋" w:eastAsia="仿宋" w:cs="仿宋"/>
        </w:rPr>
      </w:pPr>
      <w:r>
        <w:rPr>
          <w:rFonts w:hint="eastAsia" w:ascii="仿宋" w:hAnsi="仿宋" w:eastAsia="仿宋" w:cs="仿宋"/>
        </w:rPr>
        <w:t>4法定代表人及身份证或法定代表人授权委托书（附法人代表和被委托人身份证复印件）及被委托人身份证。</w:t>
      </w:r>
    </w:p>
    <w:p>
      <w:pPr>
        <w:spacing w:line="360" w:lineRule="auto"/>
        <w:ind w:firstLine="480" w:firstLineChars="200"/>
        <w:rPr>
          <w:rFonts w:hint="eastAsia" w:ascii="仿宋" w:hAnsi="仿宋" w:eastAsia="仿宋" w:cs="仿宋"/>
          <w:color w:val="auto"/>
          <w:kern w:val="2"/>
          <w:sz w:val="24"/>
          <w:szCs w:val="28"/>
          <w:lang w:val="en-US" w:eastAsia="zh-CN" w:bidi="ar-SA"/>
        </w:rPr>
      </w:pPr>
      <w:r>
        <w:rPr>
          <w:rFonts w:hint="eastAsia" w:ascii="仿宋" w:hAnsi="仿宋" w:eastAsia="仿宋" w:cs="仿宋"/>
          <w:color w:val="auto"/>
          <w:kern w:val="2"/>
          <w:sz w:val="24"/>
          <w:szCs w:val="28"/>
          <w:lang w:val="en-US" w:eastAsia="zh-CN" w:bidi="ar-SA"/>
        </w:rPr>
        <w:t>5具备《中华人民共和国政府采购法》第二十二条规定的条件，提供证明材料或承诺函格式自拟</w:t>
      </w:r>
    </w:p>
    <w:p>
      <w:pPr>
        <w:pStyle w:val="62"/>
        <w:spacing w:line="360" w:lineRule="auto"/>
        <w:ind w:firstLine="580"/>
        <w:rPr>
          <w:rFonts w:hint="eastAsia" w:ascii="仿宋" w:hAnsi="仿宋" w:eastAsia="仿宋" w:cs="仿宋"/>
          <w:color w:val="auto"/>
          <w:lang w:val="en-US" w:eastAsia="zh-CN"/>
        </w:rPr>
      </w:pPr>
      <w:r>
        <w:rPr>
          <w:rFonts w:hint="eastAsia" w:ascii="仿宋" w:hAnsi="仿宋" w:eastAsia="仿宋" w:cs="仿宋"/>
          <w:color w:val="auto"/>
          <w:kern w:val="2"/>
          <w:sz w:val="24"/>
          <w:szCs w:val="28"/>
          <w:lang w:val="en-US" w:eastAsia="zh-CN" w:bidi="ar-SA"/>
        </w:rPr>
        <w:t>6本项目不接受联合体参加采购活动，不允许将部分项目分包和转包，提供证明</w:t>
      </w:r>
      <w:r>
        <w:rPr>
          <w:rFonts w:hint="eastAsia" w:ascii="仿宋" w:hAnsi="仿宋" w:eastAsia="仿宋" w:cs="仿宋"/>
          <w:color w:val="auto"/>
          <w:lang w:val="en-US" w:eastAsia="zh-CN"/>
        </w:rPr>
        <w:t>材料或承诺函格式自拟</w:t>
      </w: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rPr>
      </w:pPr>
    </w:p>
    <w:p>
      <w:pPr>
        <w:spacing w:line="360" w:lineRule="auto"/>
        <w:rPr>
          <w:rFonts w:hint="eastAsia" w:ascii="仿宋" w:hAnsi="仿宋" w:eastAsia="仿宋" w:cs="仿宋"/>
        </w:rPr>
      </w:pPr>
      <w:r>
        <w:rPr>
          <w:rFonts w:hint="eastAsia" w:ascii="仿宋" w:hAnsi="仿宋" w:eastAsia="仿宋" w:cs="仿宋"/>
        </w:rPr>
        <w:br w:type="page"/>
      </w:r>
    </w:p>
    <w:p>
      <w:pPr>
        <w:pStyle w:val="24"/>
        <w:spacing w:line="360" w:lineRule="auto"/>
        <w:ind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符合性审查资料：</w:t>
      </w:r>
    </w:p>
    <w:p>
      <w:pPr>
        <w:pStyle w:val="62"/>
        <w:spacing w:line="360" w:lineRule="auto"/>
        <w:ind w:firstLine="480"/>
        <w:rPr>
          <w:rFonts w:hint="eastAsia" w:ascii="仿宋" w:hAnsi="仿宋" w:eastAsia="仿宋" w:cs="仿宋"/>
        </w:rPr>
      </w:pPr>
    </w:p>
    <w:p>
      <w:pPr>
        <w:pStyle w:val="62"/>
        <w:spacing w:line="360" w:lineRule="auto"/>
        <w:ind w:firstLine="480"/>
        <w:rPr>
          <w:rFonts w:hint="eastAsia" w:ascii="仿宋" w:hAnsi="仿宋" w:eastAsia="仿宋" w:cs="仿宋"/>
          <w:lang w:eastAsia="zh-CN"/>
        </w:rPr>
      </w:pPr>
      <w:r>
        <w:rPr>
          <w:rFonts w:hint="eastAsia" w:ascii="仿宋" w:hAnsi="仿宋" w:eastAsia="仿宋" w:cs="仿宋"/>
        </w:rPr>
        <w:t>1.供应商名称：是否与营业执照一致</w:t>
      </w:r>
      <w:r>
        <w:rPr>
          <w:rFonts w:hint="eastAsia" w:ascii="仿宋" w:hAnsi="仿宋" w:eastAsia="仿宋" w:cs="仿宋"/>
          <w:lang w:eastAsia="zh-CN"/>
        </w:rPr>
        <w:t>；</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2.响应函签字盖章：是否有法定代表人或其委托代理人签字或盖章</w:t>
      </w:r>
      <w:r>
        <w:rPr>
          <w:rFonts w:hint="eastAsia" w:ascii="仿宋" w:hAnsi="仿宋" w:eastAsia="仿宋" w:cs="仿宋"/>
          <w:lang w:eastAsia="zh-CN"/>
        </w:rPr>
        <w:t>；</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3.响应文件格式：是否符合竞争性磋商文件要求</w:t>
      </w:r>
      <w:r>
        <w:rPr>
          <w:rFonts w:hint="eastAsia" w:ascii="仿宋" w:hAnsi="仿宋" w:eastAsia="仿宋" w:cs="仿宋"/>
          <w:lang w:eastAsia="zh-CN"/>
        </w:rPr>
        <w:t>；</w:t>
      </w:r>
    </w:p>
    <w:p>
      <w:pPr>
        <w:pStyle w:val="62"/>
        <w:spacing w:line="360" w:lineRule="auto"/>
        <w:ind w:firstLine="480"/>
        <w:rPr>
          <w:rFonts w:hint="eastAsia" w:ascii="仿宋" w:hAnsi="仿宋" w:eastAsia="仿宋" w:cs="仿宋"/>
          <w:lang w:eastAsia="zh-CN"/>
        </w:rPr>
      </w:pPr>
      <w:r>
        <w:rPr>
          <w:rFonts w:hint="eastAsia" w:ascii="仿宋" w:hAnsi="仿宋" w:eastAsia="仿宋" w:cs="仿宋"/>
        </w:rPr>
        <w:t>4.报价:是否只有一个有效报价且符合竞争性磋商文件关于最高限价的要求</w:t>
      </w:r>
      <w:r>
        <w:rPr>
          <w:rFonts w:hint="eastAsia" w:ascii="仿宋" w:hAnsi="仿宋" w:eastAsia="仿宋" w:cs="仿宋"/>
          <w:lang w:eastAsia="zh-CN"/>
        </w:rPr>
        <w:t>。</w:t>
      </w:r>
    </w:p>
    <w:p>
      <w:pPr>
        <w:spacing w:after="240" w:afterLines="100" w:line="360" w:lineRule="auto"/>
        <w:jc w:val="center"/>
        <w:rPr>
          <w:rFonts w:hint="eastAsia" w:ascii="仿宋" w:hAnsi="仿宋" w:eastAsia="仿宋" w:cs="仿宋"/>
          <w:b/>
          <w:sz w:val="24"/>
          <w:szCs w:val="24"/>
        </w:rPr>
      </w:pPr>
    </w:p>
    <w:p>
      <w:pPr>
        <w:rPr>
          <w:rFonts w:hint="eastAsia" w:ascii="仿宋" w:hAnsi="仿宋" w:eastAsia="仿宋" w:cs="仿宋"/>
        </w:rPr>
      </w:pPr>
      <w:r>
        <w:rPr>
          <w:rFonts w:hint="eastAsia" w:ascii="仿宋" w:hAnsi="仿宋" w:eastAsia="仿宋" w:cs="仿宋"/>
        </w:rPr>
        <w:br w:type="page"/>
      </w:r>
    </w:p>
    <w:p>
      <w:pPr>
        <w:bidi w:val="0"/>
        <w:rPr>
          <w:rFonts w:hint="eastAsia" w:ascii="仿宋" w:hAnsi="仿宋" w:eastAsia="仿宋" w:cs="仿宋"/>
        </w:rPr>
      </w:pPr>
    </w:p>
    <w:bookmarkEnd w:id="187"/>
    <w:bookmarkEnd w:id="188"/>
    <w:bookmarkEnd w:id="189"/>
    <w:bookmarkEnd w:id="190"/>
    <w:p>
      <w:pPr>
        <w:pStyle w:val="6"/>
        <w:spacing w:line="360" w:lineRule="auto"/>
        <w:rPr>
          <w:rFonts w:hint="eastAsia" w:ascii="仿宋" w:hAnsi="仿宋" w:eastAsia="仿宋" w:cs="仿宋"/>
        </w:rPr>
      </w:pPr>
      <w:bookmarkStart w:id="192" w:name="_Toc19836"/>
      <w:bookmarkStart w:id="193" w:name="_Toc19354"/>
      <w:bookmarkStart w:id="194" w:name="_Toc471327975"/>
      <w:r>
        <w:rPr>
          <w:rFonts w:hint="eastAsia" w:ascii="仿宋" w:hAnsi="仿宋" w:eastAsia="仿宋" w:cs="仿宋"/>
        </w:rPr>
        <w:t>7、符合政府采购政策的相关声明文件</w:t>
      </w:r>
      <w:bookmarkEnd w:id="192"/>
      <w:bookmarkEnd w:id="193"/>
    </w:p>
    <w:p>
      <w:pPr>
        <w:pStyle w:val="62"/>
        <w:spacing w:line="360" w:lineRule="auto"/>
        <w:ind w:firstLine="480"/>
        <w:jc w:val="center"/>
        <w:rPr>
          <w:rFonts w:hint="eastAsia" w:ascii="仿宋" w:hAnsi="仿宋" w:eastAsia="仿宋" w:cs="仿宋"/>
          <w:b/>
          <w:szCs w:val="24"/>
        </w:rPr>
      </w:pPr>
      <w:r>
        <w:rPr>
          <w:rFonts w:hint="eastAsia" w:ascii="仿宋" w:hAnsi="仿宋" w:eastAsia="仿宋" w:cs="仿宋"/>
          <w:bCs/>
          <w:kern w:val="0"/>
          <w:szCs w:val="24"/>
        </w:rPr>
        <w:t>如《中小企业声明函》、《监狱、戒毒企业声明函》等</w:t>
      </w:r>
    </w:p>
    <w:p>
      <w:pPr>
        <w:pStyle w:val="62"/>
        <w:spacing w:line="360" w:lineRule="auto"/>
        <w:ind w:firstLine="482"/>
        <w:rPr>
          <w:rFonts w:hint="eastAsia" w:ascii="仿宋" w:hAnsi="仿宋" w:eastAsia="仿宋" w:cs="仿宋"/>
          <w:b/>
          <w:szCs w:val="24"/>
        </w:rPr>
      </w:pPr>
      <w:r>
        <w:rPr>
          <w:rFonts w:hint="eastAsia" w:ascii="仿宋" w:hAnsi="仿宋" w:eastAsia="仿宋" w:cs="仿宋"/>
          <w:b/>
          <w:szCs w:val="24"/>
        </w:rPr>
        <w:t>中小企业声明函（范例）</w:t>
      </w:r>
    </w:p>
    <w:p>
      <w:pPr>
        <w:pStyle w:val="62"/>
        <w:spacing w:line="360" w:lineRule="auto"/>
        <w:ind w:firstLine="480"/>
        <w:rPr>
          <w:rFonts w:hint="eastAsia" w:ascii="仿宋" w:hAnsi="仿宋" w:eastAsia="仿宋" w:cs="仿宋"/>
          <w:kern w:val="0"/>
          <w:szCs w:val="24"/>
        </w:rPr>
      </w:pPr>
      <w:r>
        <w:rPr>
          <w:rFonts w:hint="eastAsia" w:ascii="仿宋" w:hAnsi="仿宋" w:eastAsia="仿宋" w:cs="仿宋"/>
          <w:kern w:val="0"/>
          <w:szCs w:val="24"/>
        </w:rPr>
        <w:t>本公司郑重声明，根据《政府采购促进中小企业发展暂行办法》（财库[2011]181号）的规定，本公司为</w:t>
      </w:r>
      <w:r>
        <w:rPr>
          <w:rFonts w:hint="eastAsia" w:ascii="仿宋" w:hAnsi="仿宋" w:eastAsia="仿宋" w:cs="仿宋"/>
          <w:kern w:val="0"/>
          <w:szCs w:val="24"/>
          <w:u w:val="single"/>
        </w:rPr>
        <w:t>______</w:t>
      </w:r>
      <w:r>
        <w:rPr>
          <w:rFonts w:hint="eastAsia" w:ascii="仿宋" w:hAnsi="仿宋" w:eastAsia="仿宋" w:cs="仿宋"/>
          <w:kern w:val="0"/>
          <w:szCs w:val="24"/>
        </w:rPr>
        <w:t>（请填写：中型、小型、微型）企业。即，本公司同时满足以下条件：</w:t>
      </w:r>
    </w:p>
    <w:p>
      <w:pPr>
        <w:pStyle w:val="62"/>
        <w:spacing w:line="360" w:lineRule="auto"/>
        <w:ind w:firstLine="480"/>
        <w:rPr>
          <w:rFonts w:hint="eastAsia" w:ascii="仿宋" w:hAnsi="仿宋" w:eastAsia="仿宋" w:cs="仿宋"/>
          <w:kern w:val="0"/>
          <w:szCs w:val="24"/>
        </w:rPr>
      </w:pPr>
      <w:r>
        <w:rPr>
          <w:rFonts w:hint="eastAsia" w:ascii="仿宋" w:hAnsi="仿宋" w:eastAsia="仿宋" w:cs="仿宋"/>
          <w:kern w:val="0"/>
          <w:szCs w:val="24"/>
        </w:rPr>
        <w:t>1.根据《工业和信息化部、国家统计局、国家发展和改革委员会、财政部关于印发中小企业划型标准规定的通知》（工信部联企业[2011]300号）规定的划分标准，本公司为</w:t>
      </w:r>
      <w:r>
        <w:rPr>
          <w:rFonts w:hint="eastAsia" w:ascii="仿宋" w:hAnsi="仿宋" w:eastAsia="仿宋" w:cs="仿宋"/>
          <w:kern w:val="0"/>
          <w:szCs w:val="24"/>
          <w:u w:val="single"/>
        </w:rPr>
        <w:t>______</w:t>
      </w:r>
      <w:r>
        <w:rPr>
          <w:rFonts w:hint="eastAsia" w:ascii="仿宋" w:hAnsi="仿宋" w:eastAsia="仿宋" w:cs="仿宋"/>
          <w:kern w:val="0"/>
          <w:szCs w:val="24"/>
        </w:rPr>
        <w:t>（请填写：中型、小型、微型）企业。</w:t>
      </w:r>
    </w:p>
    <w:p>
      <w:pPr>
        <w:pStyle w:val="62"/>
        <w:spacing w:line="360" w:lineRule="auto"/>
        <w:ind w:firstLine="480"/>
        <w:rPr>
          <w:rFonts w:hint="eastAsia" w:ascii="仿宋" w:hAnsi="仿宋" w:eastAsia="仿宋" w:cs="仿宋"/>
        </w:rPr>
      </w:pPr>
      <w:r>
        <w:rPr>
          <w:rFonts w:hint="eastAsia" w:ascii="仿宋" w:hAnsi="仿宋" w:eastAsia="仿宋" w:cs="仿宋"/>
        </w:rPr>
        <w:t>2.本公司参加</w:t>
      </w:r>
      <w:r>
        <w:rPr>
          <w:rFonts w:hint="eastAsia" w:ascii="仿宋" w:hAnsi="仿宋" w:eastAsia="仿宋" w:cs="仿宋"/>
          <w:u w:val="single"/>
        </w:rPr>
        <w:t>______</w:t>
      </w:r>
      <w:r>
        <w:rPr>
          <w:rFonts w:hint="eastAsia" w:ascii="仿宋" w:hAnsi="仿宋" w:eastAsia="仿宋" w:cs="仿宋"/>
        </w:rPr>
        <w:t>单位的</w:t>
      </w:r>
      <w:r>
        <w:rPr>
          <w:rFonts w:hint="eastAsia" w:ascii="仿宋" w:hAnsi="仿宋" w:eastAsia="仿宋" w:cs="仿宋"/>
          <w:u w:val="single"/>
        </w:rPr>
        <w:t>______</w:t>
      </w:r>
      <w:r>
        <w:rPr>
          <w:rFonts w:hint="eastAsia" w:ascii="仿宋" w:hAnsi="仿宋" w:eastAsia="仿宋" w:cs="仿宋"/>
        </w:rPr>
        <w:t>项目采购活动提供本企业制造的货物，由本企业承担工程、提供服务，或者提供其他</w:t>
      </w:r>
      <w:r>
        <w:rPr>
          <w:rFonts w:hint="eastAsia" w:ascii="仿宋" w:hAnsi="仿宋" w:eastAsia="仿宋" w:cs="仿宋"/>
          <w:u w:val="single"/>
        </w:rPr>
        <w:t>______</w:t>
      </w:r>
      <w:r>
        <w:rPr>
          <w:rFonts w:hint="eastAsia" w:ascii="仿宋" w:hAnsi="仿宋" w:eastAsia="仿宋" w:cs="仿宋"/>
        </w:rPr>
        <w:t>（请填写：中型、小型、微型）企业制造的货物。本条所称货物不包括使用大型企业注册商标的货物。</w:t>
      </w:r>
    </w:p>
    <w:p>
      <w:pPr>
        <w:pStyle w:val="62"/>
        <w:spacing w:line="360" w:lineRule="auto"/>
        <w:ind w:firstLine="480"/>
        <w:rPr>
          <w:rFonts w:hint="eastAsia" w:ascii="仿宋" w:hAnsi="仿宋" w:eastAsia="仿宋" w:cs="仿宋"/>
          <w:kern w:val="0"/>
          <w:szCs w:val="24"/>
        </w:rPr>
      </w:pPr>
      <w:r>
        <w:rPr>
          <w:rFonts w:hint="eastAsia" w:ascii="仿宋" w:hAnsi="仿宋" w:eastAsia="仿宋" w:cs="仿宋"/>
          <w:kern w:val="0"/>
          <w:szCs w:val="24"/>
        </w:rPr>
        <w:t>本公司对上述声明的真实性负责。如有虚假，将依法承担相应责任。</w:t>
      </w:r>
    </w:p>
    <w:p>
      <w:pPr>
        <w:pStyle w:val="62"/>
        <w:spacing w:line="360" w:lineRule="auto"/>
        <w:ind w:firstLine="480"/>
        <w:rPr>
          <w:rFonts w:hint="eastAsia" w:ascii="仿宋" w:hAnsi="仿宋" w:eastAsia="仿宋" w:cs="仿宋"/>
          <w:kern w:val="0"/>
          <w:szCs w:val="24"/>
        </w:rPr>
      </w:pPr>
    </w:p>
    <w:p>
      <w:pPr>
        <w:pStyle w:val="62"/>
        <w:spacing w:line="360" w:lineRule="auto"/>
        <w:ind w:firstLine="480"/>
        <w:rPr>
          <w:rFonts w:hint="eastAsia" w:ascii="仿宋" w:hAnsi="仿宋" w:eastAsia="仿宋" w:cs="仿宋"/>
          <w:kern w:val="0"/>
          <w:szCs w:val="24"/>
          <w:u w:val="single"/>
        </w:rPr>
      </w:pPr>
      <w:r>
        <w:rPr>
          <w:rFonts w:hint="eastAsia" w:ascii="仿宋" w:hAnsi="仿宋" w:eastAsia="仿宋" w:cs="仿宋"/>
          <w:kern w:val="0"/>
          <w:szCs w:val="24"/>
        </w:rPr>
        <w:t>企业名称（单位公章）：</w:t>
      </w:r>
      <w:r>
        <w:rPr>
          <w:rFonts w:hint="eastAsia" w:ascii="仿宋" w:hAnsi="仿宋" w:eastAsia="仿宋" w:cs="仿宋"/>
          <w:kern w:val="0"/>
          <w:szCs w:val="24"/>
          <w:u w:val="single"/>
        </w:rPr>
        <w:t xml:space="preserve">                          </w:t>
      </w:r>
    </w:p>
    <w:p>
      <w:pPr>
        <w:pStyle w:val="62"/>
        <w:spacing w:line="360" w:lineRule="auto"/>
        <w:ind w:firstLine="480"/>
        <w:rPr>
          <w:rFonts w:hint="eastAsia" w:ascii="仿宋" w:hAnsi="仿宋" w:eastAsia="仿宋" w:cs="仿宋"/>
          <w:kern w:val="0"/>
          <w:szCs w:val="24"/>
        </w:rPr>
      </w:pPr>
      <w:r>
        <w:rPr>
          <w:rFonts w:hint="eastAsia" w:ascii="仿宋" w:hAnsi="仿宋" w:eastAsia="仿宋" w:cs="仿宋"/>
          <w:kern w:val="0"/>
          <w:szCs w:val="24"/>
        </w:rPr>
        <w:t>日 期：</w:t>
      </w:r>
    </w:p>
    <w:p>
      <w:pPr>
        <w:pStyle w:val="6"/>
        <w:spacing w:line="360" w:lineRule="auto"/>
        <w:rPr>
          <w:rFonts w:hint="eastAsia" w:ascii="仿宋" w:hAnsi="仿宋" w:eastAsia="仿宋" w:cs="仿宋"/>
        </w:rPr>
      </w:pPr>
      <w:r>
        <w:rPr>
          <w:rFonts w:hint="eastAsia" w:ascii="仿宋" w:hAnsi="仿宋" w:eastAsia="仿宋" w:cs="仿宋"/>
        </w:rPr>
        <w:br w:type="page"/>
      </w:r>
      <w:bookmarkStart w:id="195" w:name="_Toc22048"/>
      <w:bookmarkStart w:id="196" w:name="_Toc23884"/>
      <w:r>
        <w:rPr>
          <w:rFonts w:hint="eastAsia" w:ascii="仿宋" w:hAnsi="仿宋" w:eastAsia="仿宋" w:cs="仿宋"/>
        </w:rPr>
        <w:t>8、认为需要提供的其他材料和说明</w:t>
      </w:r>
      <w:bookmarkEnd w:id="195"/>
      <w:bookmarkEnd w:id="196"/>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格式自拟</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注：供应商根据竞争性磋商文件要求自行编制后续序号和提供相应资料。</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pStyle w:val="40"/>
        <w:spacing w:line="360" w:lineRule="auto"/>
        <w:rPr>
          <w:rFonts w:hint="eastAsia" w:ascii="仿宋" w:hAnsi="仿宋" w:eastAsia="仿宋" w:cs="仿宋"/>
        </w:rPr>
      </w:pPr>
      <w:r>
        <w:rPr>
          <w:rFonts w:hint="eastAsia" w:ascii="仿宋" w:hAnsi="仿宋" w:eastAsia="仿宋" w:cs="仿宋"/>
          <w:sz w:val="24"/>
          <w:szCs w:val="24"/>
        </w:rPr>
        <w:br w:type="page"/>
      </w:r>
      <w:bookmarkStart w:id="197" w:name="_Toc44783894"/>
      <w:r>
        <w:rPr>
          <w:rFonts w:hint="eastAsia" w:ascii="仿宋" w:hAnsi="仿宋" w:eastAsia="仿宋" w:cs="仿宋"/>
        </w:rPr>
        <w:t>第六章 合同模板</w:t>
      </w:r>
      <w:bookmarkEnd w:id="197"/>
    </w:p>
    <w:bookmarkEnd w:id="194"/>
    <w:p>
      <w:pPr>
        <w:spacing w:line="360" w:lineRule="auto"/>
        <w:rPr>
          <w:rFonts w:hint="eastAsia" w:ascii="仿宋" w:hAnsi="仿宋" w:eastAsia="仿宋" w:cs="仿宋"/>
          <w:szCs w:val="21"/>
          <w:u w:val="single"/>
        </w:rPr>
      </w:pPr>
      <w:r>
        <w:rPr>
          <w:rFonts w:hint="eastAsia" w:ascii="仿宋" w:hAnsi="仿宋" w:eastAsia="仿宋" w:cs="仿宋"/>
          <w:szCs w:val="21"/>
        </w:rPr>
        <w:t>合同编号：</w:t>
      </w:r>
      <w:r>
        <w:rPr>
          <w:rFonts w:hint="eastAsia" w:ascii="仿宋" w:hAnsi="仿宋" w:eastAsia="仿宋" w:cs="仿宋"/>
          <w:szCs w:val="21"/>
          <w:u w:val="single"/>
        </w:rPr>
        <w:t xml:space="preserve">           </w:t>
      </w:r>
    </w:p>
    <w:p>
      <w:pPr>
        <w:spacing w:line="360" w:lineRule="auto"/>
        <w:jc w:val="center"/>
        <w:rPr>
          <w:rFonts w:hint="eastAsia" w:ascii="仿宋" w:hAnsi="仿宋" w:eastAsia="仿宋" w:cs="仿宋"/>
          <w:b/>
          <w:szCs w:val="21"/>
        </w:rPr>
      </w:pPr>
    </w:p>
    <w:p>
      <w:pPr>
        <w:spacing w:line="360" w:lineRule="auto"/>
        <w:jc w:val="center"/>
        <w:rPr>
          <w:rFonts w:hint="eastAsia" w:ascii="仿宋" w:hAnsi="仿宋" w:eastAsia="仿宋" w:cs="仿宋"/>
          <w:b/>
          <w:szCs w:val="21"/>
        </w:rPr>
      </w:pPr>
    </w:p>
    <w:p>
      <w:pPr>
        <w:spacing w:line="360" w:lineRule="auto"/>
        <w:jc w:val="center"/>
        <w:rPr>
          <w:rFonts w:hint="eastAsia" w:ascii="仿宋" w:hAnsi="仿宋" w:eastAsia="仿宋" w:cs="仿宋"/>
          <w:b/>
          <w:szCs w:val="21"/>
        </w:rPr>
      </w:pPr>
      <w:r>
        <w:rPr>
          <w:rFonts w:hint="eastAsia" w:ascii="仿宋" w:hAnsi="仿宋" w:eastAsia="仿宋" w:cs="仿宋"/>
          <w:b/>
          <w:szCs w:val="21"/>
        </w:rPr>
        <w:t>政府采购合同参考范本</w:t>
      </w:r>
    </w:p>
    <w:p>
      <w:pPr>
        <w:spacing w:line="360" w:lineRule="auto"/>
        <w:jc w:val="center"/>
        <w:rPr>
          <w:rFonts w:hint="eastAsia" w:ascii="仿宋" w:hAnsi="仿宋" w:eastAsia="仿宋" w:cs="仿宋"/>
          <w:b/>
          <w:szCs w:val="21"/>
        </w:rPr>
      </w:pPr>
      <w:r>
        <w:rPr>
          <w:rFonts w:hint="eastAsia" w:ascii="仿宋" w:hAnsi="仿宋" w:eastAsia="仿宋" w:cs="仿宋"/>
          <w:b/>
          <w:szCs w:val="21"/>
        </w:rPr>
        <w:t>（服务类）具体合同以签订为准</w:t>
      </w:r>
    </w:p>
    <w:p>
      <w:pPr>
        <w:pStyle w:val="67"/>
        <w:spacing w:line="360" w:lineRule="auto"/>
        <w:ind w:firstLine="0"/>
        <w:rPr>
          <w:rFonts w:hint="eastAsia" w:ascii="仿宋" w:hAnsi="仿宋" w:eastAsia="仿宋" w:cs="仿宋"/>
          <w:szCs w:val="21"/>
        </w:rPr>
      </w:pPr>
    </w:p>
    <w:p>
      <w:pPr>
        <w:pStyle w:val="67"/>
        <w:spacing w:line="360" w:lineRule="auto"/>
        <w:ind w:firstLine="0"/>
        <w:rPr>
          <w:rFonts w:hint="eastAsia" w:ascii="仿宋" w:hAnsi="仿宋" w:eastAsia="仿宋" w:cs="仿宋"/>
          <w:szCs w:val="21"/>
        </w:rPr>
      </w:pPr>
    </w:p>
    <w:p>
      <w:pPr>
        <w:pStyle w:val="67"/>
        <w:spacing w:line="360" w:lineRule="auto"/>
        <w:ind w:firstLine="0"/>
        <w:jc w:val="center"/>
        <w:rPr>
          <w:rFonts w:hint="eastAsia" w:ascii="仿宋" w:hAnsi="仿宋" w:eastAsia="仿宋" w:cs="仿宋"/>
          <w:b/>
          <w:szCs w:val="21"/>
        </w:rPr>
      </w:pPr>
      <w:r>
        <w:rPr>
          <w:rFonts w:hint="eastAsia" w:ascii="仿宋" w:hAnsi="仿宋" w:eastAsia="仿宋" w:cs="仿宋"/>
          <w:b/>
          <w:szCs w:val="21"/>
        </w:rPr>
        <w:t>第一部分 合同书</w:t>
      </w:r>
    </w:p>
    <w:p>
      <w:pPr>
        <w:pStyle w:val="67"/>
        <w:spacing w:line="360" w:lineRule="auto"/>
        <w:ind w:firstLine="0"/>
        <w:rPr>
          <w:rFonts w:hint="eastAsia" w:ascii="仿宋" w:hAnsi="仿宋" w:eastAsia="仿宋" w:cs="仿宋"/>
          <w:szCs w:val="21"/>
        </w:rPr>
      </w:pPr>
    </w:p>
    <w:p>
      <w:pPr>
        <w:spacing w:before="120" w:line="360" w:lineRule="auto"/>
        <w:rPr>
          <w:rFonts w:hint="eastAsia" w:ascii="仿宋" w:hAnsi="仿宋" w:eastAsia="仿宋" w:cs="仿宋"/>
          <w:szCs w:val="21"/>
        </w:rPr>
      </w:pPr>
    </w:p>
    <w:p>
      <w:pPr>
        <w:spacing w:before="120" w:line="360" w:lineRule="auto"/>
        <w:ind w:left="960"/>
        <w:rPr>
          <w:rFonts w:hint="eastAsia"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u w:val="single"/>
        </w:rPr>
        <w:t xml:space="preserve">                                   </w:t>
      </w:r>
    </w:p>
    <w:p>
      <w:pPr>
        <w:pStyle w:val="107"/>
        <w:spacing w:before="120" w:line="360" w:lineRule="auto"/>
        <w:rPr>
          <w:rFonts w:hint="eastAsia" w:ascii="仿宋" w:hAnsi="仿宋" w:eastAsia="仿宋" w:cs="仿宋"/>
          <w:sz w:val="21"/>
          <w:szCs w:val="21"/>
        </w:rPr>
      </w:pPr>
    </w:p>
    <w:p>
      <w:pPr>
        <w:spacing w:before="120" w:line="360" w:lineRule="auto"/>
        <w:ind w:left="960"/>
        <w:rPr>
          <w:rFonts w:hint="eastAsia" w:ascii="仿宋" w:hAnsi="仿宋" w:eastAsia="仿宋" w:cs="仿宋"/>
          <w:szCs w:val="21"/>
          <w:u w:val="single"/>
        </w:rPr>
      </w:pPr>
      <w:r>
        <w:rPr>
          <w:rFonts w:hint="eastAsia" w:ascii="仿宋" w:hAnsi="仿宋" w:eastAsia="仿宋" w:cs="仿宋"/>
          <w:szCs w:val="21"/>
        </w:rPr>
        <w:t>甲方：</w:t>
      </w:r>
      <w:r>
        <w:rPr>
          <w:rFonts w:hint="eastAsia" w:ascii="仿宋" w:hAnsi="仿宋" w:eastAsia="仿宋" w:cs="仿宋"/>
          <w:szCs w:val="21"/>
          <w:u w:val="single"/>
        </w:rPr>
        <w:t xml:space="preserve">                                       </w:t>
      </w:r>
    </w:p>
    <w:p>
      <w:pPr>
        <w:spacing w:before="120" w:line="360" w:lineRule="auto"/>
        <w:rPr>
          <w:rFonts w:hint="eastAsia" w:ascii="仿宋" w:hAnsi="仿宋" w:eastAsia="仿宋" w:cs="仿宋"/>
          <w:szCs w:val="21"/>
        </w:rPr>
      </w:pPr>
    </w:p>
    <w:p>
      <w:pPr>
        <w:spacing w:before="120" w:line="360" w:lineRule="auto"/>
        <w:ind w:left="960"/>
        <w:rPr>
          <w:rFonts w:hint="eastAsia" w:ascii="仿宋" w:hAnsi="仿宋" w:eastAsia="仿宋" w:cs="仿宋"/>
          <w:szCs w:val="21"/>
          <w:u w:val="single"/>
        </w:rPr>
      </w:pPr>
      <w:r>
        <w:rPr>
          <w:rFonts w:hint="eastAsia" w:ascii="仿宋" w:hAnsi="仿宋" w:eastAsia="仿宋" w:cs="仿宋"/>
          <w:szCs w:val="21"/>
        </w:rPr>
        <w:t>乙方：</w:t>
      </w:r>
      <w:r>
        <w:rPr>
          <w:rFonts w:hint="eastAsia" w:ascii="仿宋" w:hAnsi="仿宋" w:eastAsia="仿宋" w:cs="仿宋"/>
          <w:szCs w:val="21"/>
          <w:u w:val="single"/>
        </w:rPr>
        <w:t xml:space="preserve">                                       </w:t>
      </w:r>
    </w:p>
    <w:p>
      <w:pPr>
        <w:spacing w:before="120" w:line="360" w:lineRule="auto"/>
        <w:rPr>
          <w:rFonts w:hint="eastAsia" w:ascii="仿宋" w:hAnsi="仿宋" w:eastAsia="仿宋" w:cs="仿宋"/>
          <w:szCs w:val="21"/>
        </w:rPr>
      </w:pPr>
    </w:p>
    <w:p>
      <w:pPr>
        <w:spacing w:before="120" w:line="360" w:lineRule="auto"/>
        <w:ind w:firstLine="840" w:firstLineChars="400"/>
        <w:rPr>
          <w:rFonts w:hint="eastAsia" w:ascii="仿宋" w:hAnsi="仿宋" w:eastAsia="仿宋" w:cs="仿宋"/>
          <w:szCs w:val="21"/>
          <w:u w:val="single"/>
        </w:rPr>
      </w:pPr>
      <w:r>
        <w:rPr>
          <w:rFonts w:hint="eastAsia" w:ascii="仿宋" w:hAnsi="仿宋" w:eastAsia="仿宋" w:cs="仿宋"/>
          <w:szCs w:val="21"/>
        </w:rPr>
        <w:t>签订地：</w:t>
      </w:r>
      <w:r>
        <w:rPr>
          <w:rFonts w:hint="eastAsia" w:ascii="仿宋" w:hAnsi="仿宋" w:eastAsia="仿宋" w:cs="仿宋"/>
          <w:szCs w:val="21"/>
          <w:u w:val="single"/>
        </w:rPr>
        <w:t xml:space="preserve">                                     </w:t>
      </w:r>
    </w:p>
    <w:p>
      <w:pPr>
        <w:spacing w:before="120" w:line="360" w:lineRule="auto"/>
        <w:rPr>
          <w:rFonts w:hint="eastAsia" w:ascii="仿宋" w:hAnsi="仿宋" w:eastAsia="仿宋" w:cs="仿宋"/>
          <w:szCs w:val="21"/>
        </w:rPr>
      </w:pPr>
    </w:p>
    <w:p>
      <w:pPr>
        <w:spacing w:before="120" w:line="360" w:lineRule="auto"/>
        <w:ind w:firstLine="840" w:firstLineChars="400"/>
        <w:rPr>
          <w:rFonts w:hint="eastAsia" w:ascii="仿宋" w:hAnsi="仿宋" w:eastAsia="仿宋" w:cs="仿宋"/>
          <w:szCs w:val="21"/>
          <w:u w:val="single"/>
        </w:rPr>
      </w:pPr>
      <w:r>
        <w:rPr>
          <w:rFonts w:hint="eastAsia" w:ascii="仿宋" w:hAnsi="仿宋" w:eastAsia="仿宋" w:cs="仿宋"/>
          <w:szCs w:val="21"/>
        </w:rPr>
        <w:t>签订日期：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pPr>
        <w:bidi w:val="0"/>
        <w:jc w:val="both"/>
        <w:rPr>
          <w:rFonts w:hint="eastAsia" w:ascii="仿宋" w:hAnsi="仿宋" w:eastAsia="仿宋" w:cs="仿宋"/>
        </w:rPr>
      </w:pP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sectPr>
          <w:headerReference r:id="rId18" w:type="default"/>
          <w:footerReference r:id="rId19" w:type="default"/>
          <w:pgSz w:w="11907" w:h="16840"/>
          <w:pgMar w:top="1474" w:right="1814" w:bottom="1474" w:left="1814" w:header="851" w:footer="851" w:gutter="0"/>
          <w:pgBorders>
            <w:top w:val="none" w:sz="0" w:space="0"/>
            <w:left w:val="none" w:sz="0" w:space="0"/>
            <w:bottom w:val="none" w:sz="0" w:space="0"/>
            <w:right w:val="none" w:sz="0" w:space="0"/>
          </w:pgBorders>
          <w:cols w:space="720" w:num="1"/>
          <w:docGrid w:linePitch="462" w:charSpace="0"/>
        </w:sectPr>
      </w:pPr>
      <w:r>
        <w:rPr>
          <w:rFonts w:hint="eastAsia" w:ascii="仿宋" w:hAnsi="仿宋" w:eastAsia="仿宋" w:cs="仿宋"/>
          <w:lang w:val="en-US" w:eastAsia="zh-CN"/>
        </w:rPr>
        <w:t>注：本合同仅供参考</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u w:val="single"/>
          <w:lang w:val="zh-CN"/>
        </w:rPr>
        <w:t xml:space="preserve">        </w:t>
      </w:r>
      <w:r>
        <w:rPr>
          <w:rFonts w:hint="eastAsia" w:ascii="仿宋" w:hAnsi="仿宋" w:eastAsia="仿宋" w:cs="仿宋"/>
          <w:szCs w:val="21"/>
          <w:lang w:val="zh-CN"/>
        </w:rPr>
        <w:t>年</w:t>
      </w:r>
      <w:r>
        <w:rPr>
          <w:rFonts w:hint="eastAsia" w:ascii="仿宋" w:hAnsi="仿宋" w:eastAsia="仿宋" w:cs="仿宋"/>
          <w:szCs w:val="21"/>
          <w:u w:val="single"/>
          <w:lang w:val="zh-CN"/>
        </w:rPr>
        <w:t xml:space="preserve">    </w:t>
      </w:r>
      <w:r>
        <w:rPr>
          <w:rFonts w:hint="eastAsia" w:ascii="仿宋" w:hAnsi="仿宋" w:eastAsia="仿宋" w:cs="仿宋"/>
          <w:szCs w:val="21"/>
          <w:lang w:val="zh-CN"/>
        </w:rPr>
        <w:t>月</w:t>
      </w:r>
      <w:r>
        <w:rPr>
          <w:rFonts w:hint="eastAsia" w:ascii="仿宋" w:hAnsi="仿宋" w:eastAsia="仿宋" w:cs="仿宋"/>
          <w:szCs w:val="21"/>
          <w:u w:val="single"/>
          <w:lang w:val="zh-CN"/>
        </w:rPr>
        <w:t xml:space="preserve">    </w:t>
      </w:r>
      <w:r>
        <w:rPr>
          <w:rFonts w:hint="eastAsia" w:ascii="仿宋" w:hAnsi="仿宋" w:eastAsia="仿宋" w:cs="仿宋"/>
          <w:szCs w:val="21"/>
          <w:lang w:val="zh-CN"/>
        </w:rPr>
        <w:t>日</w:t>
      </w:r>
      <w:r>
        <w:rPr>
          <w:rFonts w:hint="eastAsia" w:ascii="仿宋" w:hAnsi="仿宋" w:eastAsia="仿宋" w:cs="仿宋"/>
          <w:szCs w:val="21"/>
        </w:rPr>
        <w:t>，</w:t>
      </w:r>
      <w:r>
        <w:rPr>
          <w:rFonts w:hint="eastAsia" w:ascii="仿宋" w:hAnsi="仿宋" w:eastAsia="仿宋" w:cs="仿宋"/>
          <w:szCs w:val="21"/>
          <w:u w:val="single"/>
        </w:rPr>
        <w:t xml:space="preserve">   （采购人名称）   </w:t>
      </w:r>
      <w:r>
        <w:rPr>
          <w:rFonts w:hint="eastAsia" w:ascii="仿宋" w:hAnsi="仿宋" w:eastAsia="仿宋" w:cs="仿宋"/>
          <w:szCs w:val="21"/>
        </w:rPr>
        <w:t>以竞争性磋商方式对</w:t>
      </w:r>
      <w:r>
        <w:rPr>
          <w:rFonts w:hint="eastAsia" w:ascii="仿宋" w:hAnsi="仿宋" w:eastAsia="仿宋" w:cs="仿宋"/>
          <w:szCs w:val="21"/>
          <w:u w:val="single"/>
        </w:rPr>
        <w:t xml:space="preserve">   （同前页项目名称）   </w:t>
      </w:r>
      <w:r>
        <w:rPr>
          <w:rFonts w:hint="eastAsia" w:ascii="仿宋" w:hAnsi="仿宋" w:eastAsia="仿宋" w:cs="仿宋"/>
          <w:szCs w:val="21"/>
        </w:rPr>
        <w:t>项目进行了采购。经</w:t>
      </w:r>
      <w:r>
        <w:rPr>
          <w:rFonts w:hint="eastAsia" w:ascii="仿宋" w:hAnsi="仿宋" w:eastAsia="仿宋" w:cs="仿宋"/>
          <w:szCs w:val="21"/>
          <w:u w:val="single"/>
        </w:rPr>
        <w:t xml:space="preserve">   （相关评定主体名称）   </w:t>
      </w:r>
      <w:r>
        <w:rPr>
          <w:rFonts w:hint="eastAsia" w:ascii="仿宋" w:hAnsi="仿宋" w:eastAsia="仿宋" w:cs="仿宋"/>
          <w:szCs w:val="21"/>
        </w:rPr>
        <w:t>评定，</w:t>
      </w:r>
      <w:r>
        <w:rPr>
          <w:rFonts w:hint="eastAsia" w:ascii="仿宋" w:hAnsi="仿宋" w:eastAsia="仿宋" w:cs="仿宋"/>
          <w:szCs w:val="21"/>
          <w:u w:val="single"/>
        </w:rPr>
        <w:t xml:space="preserve">   （中标人名称） </w:t>
      </w:r>
      <w:r>
        <w:rPr>
          <w:rFonts w:hint="eastAsia" w:ascii="仿宋" w:hAnsi="仿宋" w:eastAsia="仿宋" w:cs="仿宋"/>
          <w:szCs w:val="21"/>
        </w:rPr>
        <w:t>为该项目中标供应商。现于中标通知书发出之日起三十日内，按照采购文件确定的事项签订本合同。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zh-CN"/>
        </w:rPr>
        <w:t>按照《中华人民共和国合同法》、《中华人民共和国政府采购法》等相关法律法规之规定，按照平等、自愿、公平和诚实信用的原则，经</w:t>
      </w:r>
      <w:r>
        <w:rPr>
          <w:rFonts w:hint="eastAsia" w:ascii="仿宋" w:hAnsi="仿宋" w:eastAsia="仿宋" w:cs="仿宋"/>
          <w:szCs w:val="21"/>
          <w:u w:val="single"/>
        </w:rPr>
        <w:t xml:space="preserve">   （采购人名称）   </w:t>
      </w:r>
      <w:r>
        <w:rPr>
          <w:rFonts w:hint="eastAsia" w:ascii="仿宋" w:hAnsi="仿宋" w:eastAsia="仿宋" w:cs="仿宋"/>
          <w:szCs w:val="21"/>
          <w:lang w:val="zh-CN"/>
        </w:rPr>
        <w:t>(以下简称：甲方)和</w:t>
      </w:r>
      <w:r>
        <w:rPr>
          <w:rFonts w:hint="eastAsia" w:ascii="仿宋" w:hAnsi="仿宋" w:eastAsia="仿宋" w:cs="仿宋"/>
          <w:szCs w:val="21"/>
          <w:u w:val="single"/>
        </w:rPr>
        <w:t xml:space="preserve">   （中标供应商名称）   </w:t>
      </w:r>
      <w:r>
        <w:rPr>
          <w:rFonts w:hint="eastAsia" w:ascii="仿宋" w:hAnsi="仿宋" w:eastAsia="仿宋" w:cs="仿宋"/>
          <w:szCs w:val="21"/>
          <w:lang w:val="zh-CN"/>
        </w:rPr>
        <w:t>(以下简称：乙方)协商一致，约定以下合同</w:t>
      </w:r>
      <w:r>
        <w:rPr>
          <w:rFonts w:hint="eastAsia" w:ascii="仿宋" w:hAnsi="仿宋" w:eastAsia="仿宋" w:cs="仿宋"/>
          <w:szCs w:val="21"/>
        </w:rPr>
        <w:t>条款，以兹共同遵守、全面履行。</w:t>
      </w:r>
    </w:p>
    <w:p>
      <w:pPr>
        <w:spacing w:line="360" w:lineRule="auto"/>
        <w:ind w:firstLine="422" w:firstLineChars="200"/>
        <w:outlineLvl w:val="0"/>
        <w:rPr>
          <w:rFonts w:hint="eastAsia" w:ascii="仿宋" w:hAnsi="仿宋" w:eastAsia="仿宋" w:cs="仿宋"/>
          <w:szCs w:val="21"/>
        </w:rPr>
      </w:pPr>
      <w:bookmarkStart w:id="198" w:name="_Toc28855"/>
      <w:bookmarkStart w:id="199" w:name="_Toc15367"/>
      <w:bookmarkStart w:id="200" w:name="_Toc22967"/>
      <w:bookmarkStart w:id="201" w:name="_Toc20421"/>
      <w:bookmarkStart w:id="202" w:name="_Toc30499095"/>
      <w:bookmarkStart w:id="203" w:name="_Toc19273"/>
      <w:r>
        <w:rPr>
          <w:rFonts w:hint="eastAsia" w:ascii="仿宋" w:hAnsi="仿宋" w:eastAsia="仿宋" w:cs="仿宋"/>
          <w:b/>
          <w:szCs w:val="21"/>
        </w:rPr>
        <w:t>1.1 合同组成部分</w:t>
      </w:r>
      <w:bookmarkEnd w:id="198"/>
      <w:bookmarkEnd w:id="199"/>
      <w:bookmarkEnd w:id="200"/>
      <w:bookmarkEnd w:id="201"/>
      <w:bookmarkEnd w:id="202"/>
      <w:bookmarkEnd w:id="203"/>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1.1.1 本合同及其补充合同、变更协议；</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1.1.2 中标通知书；</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1.1.3 响应文件（含澄清或者说明文件）；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1.1.4磋商文件（含澄清或者修改文件）；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1.1.5 其他相关采购文件。</w:t>
      </w:r>
    </w:p>
    <w:p>
      <w:pPr>
        <w:spacing w:line="360" w:lineRule="auto"/>
        <w:ind w:firstLine="422" w:firstLineChars="200"/>
        <w:outlineLvl w:val="0"/>
        <w:rPr>
          <w:rFonts w:hint="eastAsia" w:ascii="仿宋" w:hAnsi="仿宋" w:eastAsia="仿宋" w:cs="仿宋"/>
          <w:b/>
          <w:szCs w:val="21"/>
        </w:rPr>
      </w:pPr>
      <w:bookmarkStart w:id="204" w:name="_Toc18585"/>
      <w:bookmarkStart w:id="205" w:name="_Toc6773"/>
      <w:bookmarkStart w:id="206" w:name="_Toc22185"/>
      <w:bookmarkStart w:id="207" w:name="_Toc6311"/>
      <w:bookmarkStart w:id="208" w:name="_Toc2918"/>
      <w:bookmarkStart w:id="209" w:name="_Toc30499096"/>
      <w:r>
        <w:rPr>
          <w:rFonts w:hint="eastAsia" w:ascii="仿宋" w:hAnsi="仿宋" w:eastAsia="仿宋" w:cs="仿宋"/>
          <w:b/>
          <w:szCs w:val="21"/>
        </w:rPr>
        <w:t>1.2 标的</w:t>
      </w:r>
      <w:bookmarkEnd w:id="204"/>
      <w:bookmarkEnd w:id="205"/>
      <w:bookmarkEnd w:id="206"/>
      <w:bookmarkEnd w:id="207"/>
      <w:bookmarkEnd w:id="208"/>
      <w:bookmarkEnd w:id="209"/>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1.2.标的名称：</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1.2标的数量：</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1.2.3 标的质量：</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2" w:firstLineChars="200"/>
        <w:outlineLvl w:val="0"/>
        <w:rPr>
          <w:rFonts w:hint="eastAsia" w:ascii="仿宋" w:hAnsi="仿宋" w:eastAsia="仿宋" w:cs="仿宋"/>
          <w:b/>
          <w:szCs w:val="21"/>
        </w:rPr>
      </w:pPr>
      <w:bookmarkStart w:id="210" w:name="_Toc5635"/>
      <w:bookmarkStart w:id="211" w:name="_Toc21124"/>
      <w:bookmarkStart w:id="212" w:name="_Toc4929"/>
      <w:bookmarkStart w:id="213" w:name="_Toc1386"/>
      <w:bookmarkStart w:id="214" w:name="_Toc30499097"/>
      <w:bookmarkStart w:id="215" w:name="_Toc13918"/>
      <w:r>
        <w:rPr>
          <w:rFonts w:hint="eastAsia" w:ascii="仿宋" w:hAnsi="仿宋" w:eastAsia="仿宋" w:cs="仿宋"/>
          <w:b/>
          <w:szCs w:val="21"/>
        </w:rPr>
        <w:t>1.3 价款</w:t>
      </w:r>
      <w:bookmarkEnd w:id="210"/>
      <w:bookmarkEnd w:id="211"/>
      <w:bookmarkEnd w:id="212"/>
      <w:bookmarkEnd w:id="213"/>
      <w:bookmarkEnd w:id="214"/>
      <w:bookmarkEnd w:id="215"/>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本合同总价为：￥</w:t>
      </w:r>
      <w:r>
        <w:rPr>
          <w:rFonts w:hint="eastAsia" w:ascii="仿宋" w:hAnsi="仿宋" w:eastAsia="仿宋" w:cs="仿宋"/>
          <w:szCs w:val="21"/>
          <w:u w:val="single"/>
        </w:rPr>
        <w:t xml:space="preserve">           </w:t>
      </w:r>
      <w:r>
        <w:rPr>
          <w:rFonts w:hint="eastAsia" w:ascii="仿宋" w:hAnsi="仿宋" w:eastAsia="仿宋" w:cs="仿宋"/>
          <w:szCs w:val="21"/>
        </w:rPr>
        <w:t>元（大写：</w:t>
      </w:r>
      <w:r>
        <w:rPr>
          <w:rFonts w:hint="eastAsia" w:ascii="仿宋" w:hAnsi="仿宋" w:eastAsia="仿宋" w:cs="仿宋"/>
          <w:szCs w:val="21"/>
          <w:u w:val="single"/>
        </w:rPr>
        <w:t xml:space="preserve">                 </w:t>
      </w:r>
      <w:r>
        <w:rPr>
          <w:rFonts w:hint="eastAsia" w:ascii="仿宋" w:hAnsi="仿宋" w:eastAsia="仿宋" w:cs="仿宋"/>
          <w:szCs w:val="21"/>
        </w:rPr>
        <w:t>元人民币）。</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分项价格：</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108"/>
              <w:keepNext w:val="0"/>
              <w:keepLines w:val="0"/>
              <w:suppressLineNumbers w:val="0"/>
              <w:spacing w:before="0" w:beforeAutospacing="0" w:after="0" w:afterAutospacing="0" w:line="360" w:lineRule="auto"/>
              <w:ind w:left="0" w:right="0"/>
              <w:jc w:val="center"/>
              <w:rPr>
                <w:rFonts w:hint="eastAsia" w:ascii="仿宋" w:hAnsi="仿宋" w:eastAsia="仿宋" w:cs="仿宋"/>
                <w:color w:val="000000"/>
                <w:szCs w:val="21"/>
              </w:rPr>
            </w:pPr>
            <w:r>
              <w:rPr>
                <w:rFonts w:hint="eastAsia" w:ascii="仿宋" w:hAnsi="仿宋" w:eastAsia="仿宋" w:cs="仿宋"/>
                <w:color w:val="000000"/>
                <w:szCs w:val="21"/>
              </w:rPr>
              <w:t>序号</w:t>
            </w:r>
          </w:p>
        </w:tc>
        <w:tc>
          <w:tcPr>
            <w:tcW w:w="340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r>
              <w:rPr>
                <w:rFonts w:hint="eastAsia" w:ascii="仿宋" w:hAnsi="仿宋" w:eastAsia="仿宋" w:cs="仿宋"/>
                <w:color w:val="000000"/>
                <w:szCs w:val="21"/>
              </w:rPr>
              <w:t>分项名称</w:t>
            </w:r>
          </w:p>
        </w:tc>
        <w:tc>
          <w:tcPr>
            <w:tcW w:w="2552" w:type="dxa"/>
            <w:noWrap w:val="0"/>
            <w:vAlign w:val="center"/>
          </w:tcPr>
          <w:p>
            <w:pPr>
              <w:pStyle w:val="108"/>
              <w:keepNext w:val="0"/>
              <w:keepLines w:val="0"/>
              <w:suppressLineNumbers w:val="0"/>
              <w:spacing w:before="0" w:beforeAutospacing="0" w:after="0" w:afterAutospacing="0" w:line="360" w:lineRule="auto"/>
              <w:ind w:left="0" w:right="0"/>
              <w:jc w:val="center"/>
              <w:rPr>
                <w:rFonts w:hint="eastAsia" w:ascii="仿宋" w:hAnsi="仿宋" w:eastAsia="仿宋" w:cs="仿宋"/>
                <w:color w:val="000000"/>
                <w:szCs w:val="21"/>
              </w:rPr>
            </w:pPr>
            <w:r>
              <w:rPr>
                <w:rFonts w:hint="eastAsia" w:ascii="仿宋" w:hAnsi="仿宋" w:eastAsia="仿宋" w:cs="仿宋"/>
                <w:color w:val="000000"/>
                <w:szCs w:val="21"/>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340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255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340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255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340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255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340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c>
          <w:tcPr>
            <w:tcW w:w="255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r>
              <w:rPr>
                <w:rFonts w:hint="eastAsia" w:ascii="仿宋" w:hAnsi="仿宋" w:eastAsia="仿宋" w:cs="仿宋"/>
                <w:color w:val="000000"/>
                <w:szCs w:val="21"/>
              </w:rPr>
              <w:t>总价</w:t>
            </w:r>
          </w:p>
        </w:tc>
        <w:tc>
          <w:tcPr>
            <w:tcW w:w="2552" w:type="dxa"/>
            <w:noWrap w:val="0"/>
            <w:vAlign w:val="center"/>
          </w:tcPr>
          <w:p>
            <w:pPr>
              <w:pStyle w:val="108"/>
              <w:keepNext w:val="0"/>
              <w:keepLines w:val="0"/>
              <w:suppressLineNumbers w:val="0"/>
              <w:spacing w:before="0" w:beforeAutospacing="0" w:after="0" w:afterAutospacing="0" w:line="360" w:lineRule="auto"/>
              <w:ind w:left="0" w:right="0" w:firstLine="200"/>
              <w:jc w:val="center"/>
              <w:rPr>
                <w:rFonts w:hint="eastAsia" w:ascii="仿宋" w:hAnsi="仿宋" w:eastAsia="仿宋" w:cs="仿宋"/>
                <w:color w:val="000000"/>
                <w:szCs w:val="21"/>
              </w:rPr>
            </w:pPr>
          </w:p>
        </w:tc>
      </w:tr>
    </w:tbl>
    <w:p>
      <w:pPr>
        <w:spacing w:line="360" w:lineRule="auto"/>
        <w:ind w:firstLine="422" w:firstLineChars="200"/>
        <w:outlineLvl w:val="0"/>
        <w:rPr>
          <w:rFonts w:hint="eastAsia" w:ascii="仿宋" w:hAnsi="仿宋" w:eastAsia="仿宋" w:cs="仿宋"/>
          <w:b/>
          <w:szCs w:val="21"/>
        </w:rPr>
      </w:pPr>
      <w:bookmarkStart w:id="216" w:name="_Toc30506"/>
      <w:bookmarkStart w:id="217" w:name="_Toc26916"/>
      <w:bookmarkStart w:id="218" w:name="_Toc30499098"/>
      <w:bookmarkStart w:id="219" w:name="_Toc30158"/>
      <w:bookmarkStart w:id="220" w:name="_Toc14993"/>
      <w:bookmarkStart w:id="221" w:name="_Toc3654"/>
      <w:r>
        <w:rPr>
          <w:rFonts w:hint="eastAsia" w:ascii="仿宋" w:hAnsi="仿宋" w:eastAsia="仿宋" w:cs="仿宋"/>
          <w:b/>
          <w:szCs w:val="21"/>
        </w:rPr>
        <w:t>1.4 付款方式和发票开具方式</w:t>
      </w:r>
      <w:bookmarkEnd w:id="216"/>
      <w:bookmarkEnd w:id="217"/>
      <w:bookmarkEnd w:id="218"/>
      <w:bookmarkEnd w:id="219"/>
      <w:bookmarkEnd w:id="220"/>
      <w:bookmarkEnd w:id="22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1.4.1付款方式：</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1.4.2 发票开具方式：</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2" w:firstLineChars="200"/>
        <w:outlineLvl w:val="0"/>
        <w:rPr>
          <w:rFonts w:hint="eastAsia" w:ascii="仿宋" w:hAnsi="仿宋" w:eastAsia="仿宋" w:cs="仿宋"/>
          <w:b/>
          <w:szCs w:val="21"/>
        </w:rPr>
      </w:pPr>
      <w:bookmarkStart w:id="222" w:name="_Toc11108"/>
      <w:bookmarkStart w:id="223" w:name="_Toc3625"/>
      <w:bookmarkStart w:id="224" w:name="_Toc31421"/>
      <w:bookmarkStart w:id="225" w:name="_Toc8772"/>
      <w:bookmarkStart w:id="226" w:name="_Toc30499099"/>
      <w:bookmarkStart w:id="227" w:name="_Toc4760"/>
      <w:r>
        <w:rPr>
          <w:rFonts w:hint="eastAsia" w:ascii="仿宋" w:hAnsi="仿宋" w:eastAsia="仿宋" w:cs="仿宋"/>
          <w:b/>
          <w:szCs w:val="21"/>
        </w:rPr>
        <w:t>1.5 履行期限、地点和方式</w:t>
      </w:r>
      <w:bookmarkEnd w:id="222"/>
      <w:bookmarkEnd w:id="223"/>
      <w:bookmarkEnd w:id="224"/>
      <w:bookmarkEnd w:id="225"/>
      <w:bookmarkEnd w:id="226"/>
      <w:bookmarkEnd w:id="227"/>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1.5.1 履行期限：</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1.5.2 履行地点：</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1.5.3 履行方式：</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2" w:firstLineChars="200"/>
        <w:outlineLvl w:val="0"/>
        <w:rPr>
          <w:rFonts w:hint="eastAsia" w:ascii="仿宋" w:hAnsi="仿宋" w:eastAsia="仿宋" w:cs="仿宋"/>
          <w:szCs w:val="21"/>
          <w:u w:val="single"/>
        </w:rPr>
      </w:pPr>
      <w:bookmarkStart w:id="228" w:name="_Toc30499100"/>
      <w:bookmarkStart w:id="229" w:name="_Toc5698"/>
      <w:bookmarkStart w:id="230" w:name="_Toc2375"/>
      <w:bookmarkStart w:id="231" w:name="_Toc24662"/>
      <w:bookmarkStart w:id="232" w:name="_Toc8586"/>
      <w:bookmarkStart w:id="233" w:name="_Toc3079"/>
      <w:r>
        <w:rPr>
          <w:rFonts w:hint="eastAsia" w:ascii="仿宋" w:hAnsi="仿宋" w:eastAsia="仿宋" w:cs="仿宋"/>
          <w:b/>
          <w:szCs w:val="21"/>
        </w:rPr>
        <w:t>1.6 违约责任</w:t>
      </w:r>
      <w:bookmarkEnd w:id="228"/>
      <w:bookmarkEnd w:id="229"/>
      <w:bookmarkEnd w:id="230"/>
      <w:bookmarkEnd w:id="231"/>
      <w:bookmarkEnd w:id="232"/>
      <w:bookmarkEnd w:id="233"/>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1.6.1 除不可抗力外，如果乙方没有按照本合同约定的期限、地点和方式履行，那么甲方可要求乙方支付违约金，违约金按每迟延履行一日的应提供而未提供服务价格的</w:t>
      </w:r>
      <w:r>
        <w:rPr>
          <w:rFonts w:hint="eastAsia" w:ascii="仿宋" w:hAnsi="仿宋" w:eastAsia="仿宋" w:cs="仿宋"/>
          <w:szCs w:val="21"/>
          <w:u w:val="single"/>
        </w:rPr>
        <w:t xml:space="preserve">    </w:t>
      </w:r>
      <w:r>
        <w:rPr>
          <w:rFonts w:hint="eastAsia" w:ascii="仿宋" w:hAnsi="仿宋" w:eastAsia="仿宋" w:cs="仿宋"/>
          <w:szCs w:val="21"/>
        </w:rPr>
        <w:t>%计算，最高限额为本合同总价的</w:t>
      </w:r>
      <w:r>
        <w:rPr>
          <w:rFonts w:hint="eastAsia" w:ascii="仿宋" w:hAnsi="仿宋" w:eastAsia="仿宋" w:cs="仿宋"/>
          <w:szCs w:val="21"/>
          <w:u w:val="single"/>
        </w:rPr>
        <w:t xml:space="preserve">     </w:t>
      </w:r>
      <w:r>
        <w:rPr>
          <w:rFonts w:hint="eastAsia" w:ascii="仿宋" w:hAnsi="仿宋" w:eastAsia="仿宋" w:cs="仿宋"/>
          <w:szCs w:val="21"/>
        </w:rPr>
        <w:t>%；迟延履行的违约金计算数额达到前述最高限额之日起，甲方有权在要求乙方支付违约金的同时，书面通知乙方解除本合同；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1.6.2 除不可抗力外，如果甲方没有按照本合同约定的付款方式付款，那么乙方可要求甲方支付违约金，违约金按每迟延付款一日的应付而未付款的</w:t>
      </w:r>
      <w:r>
        <w:rPr>
          <w:rFonts w:hint="eastAsia" w:ascii="仿宋" w:hAnsi="仿宋" w:eastAsia="仿宋" w:cs="仿宋"/>
          <w:szCs w:val="21"/>
          <w:u w:val="single"/>
        </w:rPr>
        <w:t xml:space="preserve">    </w:t>
      </w:r>
      <w:r>
        <w:rPr>
          <w:rFonts w:hint="eastAsia" w:ascii="仿宋" w:hAnsi="仿宋" w:eastAsia="仿宋" w:cs="仿宋"/>
          <w:szCs w:val="21"/>
        </w:rPr>
        <w:t>%计算，最高限额为本合同总价的</w:t>
      </w:r>
      <w:r>
        <w:rPr>
          <w:rFonts w:hint="eastAsia" w:ascii="仿宋" w:hAnsi="仿宋" w:eastAsia="仿宋" w:cs="仿宋"/>
          <w:szCs w:val="21"/>
          <w:u w:val="single"/>
        </w:rPr>
        <w:t xml:space="preserve">     </w:t>
      </w:r>
      <w:r>
        <w:rPr>
          <w:rFonts w:hint="eastAsia" w:ascii="仿宋" w:hAnsi="仿宋" w:eastAsia="仿宋" w:cs="仿宋"/>
          <w:szCs w:val="21"/>
        </w:rPr>
        <w:t>%；迟延付款的违约金计算数额达到前述最高限额之日起，乙方有权在要求甲方支付违约金的同时，书面通知甲方解除本合同；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1.6.6 如果出现政府采购监督管理部门在处理投诉事项期间，书面通知甲方暂停采购活动的情形，或者询问或质疑事项可能影响中标结果的，导致甲方中止履行合同的情形，均不视为甲方违约。</w:t>
      </w:r>
    </w:p>
    <w:p>
      <w:pPr>
        <w:spacing w:line="360" w:lineRule="auto"/>
        <w:ind w:firstLine="422" w:firstLineChars="200"/>
        <w:outlineLvl w:val="0"/>
        <w:rPr>
          <w:rFonts w:hint="eastAsia" w:ascii="仿宋" w:hAnsi="仿宋" w:eastAsia="仿宋" w:cs="仿宋"/>
          <w:b/>
          <w:szCs w:val="21"/>
        </w:rPr>
      </w:pPr>
      <w:bookmarkStart w:id="234" w:name="_Toc18683"/>
      <w:bookmarkStart w:id="235" w:name="_Toc30499101"/>
      <w:bookmarkStart w:id="236" w:name="_Toc30329"/>
      <w:bookmarkStart w:id="237" w:name="_Toc32454"/>
      <w:bookmarkStart w:id="238" w:name="_Toc9497"/>
      <w:bookmarkStart w:id="239" w:name="_Toc26807"/>
      <w:r>
        <w:rPr>
          <w:rFonts w:hint="eastAsia" w:ascii="仿宋" w:hAnsi="仿宋" w:eastAsia="仿宋" w:cs="仿宋"/>
          <w:b/>
          <w:szCs w:val="21"/>
        </w:rPr>
        <w:t>1.7 合同争议的解决</w:t>
      </w:r>
      <w:bookmarkEnd w:id="234"/>
      <w:bookmarkEnd w:id="235"/>
      <w:bookmarkEnd w:id="236"/>
      <w:bookmarkEnd w:id="237"/>
      <w:bookmarkEnd w:id="238"/>
      <w:bookmarkEnd w:id="239"/>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本合同履行过程中发生的任何争议，双方当事人均可通过和解或者调解解决；不愿和解、调解或者和解、调解不成的，可以选择下列第</w:t>
      </w:r>
      <w:r>
        <w:rPr>
          <w:rFonts w:hint="eastAsia" w:ascii="仿宋" w:hAnsi="仿宋" w:eastAsia="仿宋" w:cs="仿宋"/>
          <w:szCs w:val="21"/>
          <w:u w:val="single"/>
        </w:rPr>
        <w:t xml:space="preserve">      </w:t>
      </w:r>
      <w:r>
        <w:rPr>
          <w:rFonts w:hint="eastAsia" w:ascii="仿宋" w:hAnsi="仿宋" w:eastAsia="仿宋" w:cs="仿宋"/>
          <w:szCs w:val="21"/>
        </w:rPr>
        <w:t>种方式解决：</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1.7.1 将争议提交</w:t>
      </w:r>
      <w:r>
        <w:rPr>
          <w:rFonts w:hint="eastAsia" w:ascii="仿宋" w:hAnsi="仿宋" w:eastAsia="仿宋" w:cs="仿宋"/>
          <w:szCs w:val="21"/>
          <w:u w:val="single"/>
        </w:rPr>
        <w:t xml:space="preserve">              </w:t>
      </w:r>
      <w:r>
        <w:rPr>
          <w:rFonts w:hint="eastAsia" w:ascii="仿宋" w:hAnsi="仿宋" w:eastAsia="仿宋" w:cs="仿宋"/>
          <w:szCs w:val="21"/>
        </w:rPr>
        <w:t>仲裁委员会依申请仲裁时其现行有效的仲裁规则裁决；</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1.7.2 向</w:t>
      </w:r>
      <w:r>
        <w:rPr>
          <w:rFonts w:hint="eastAsia" w:ascii="仿宋" w:hAnsi="仿宋" w:eastAsia="仿宋" w:cs="仿宋"/>
          <w:szCs w:val="21"/>
          <w:u w:val="single"/>
        </w:rPr>
        <w:t xml:space="preserve">   （被告住所地、合同履行地、合同签订地、原告住所地、标的物所在地等与争议有实际联系的地点中选出的人民法院名称）    </w:t>
      </w:r>
      <w:r>
        <w:rPr>
          <w:rFonts w:hint="eastAsia" w:ascii="仿宋" w:hAnsi="仿宋" w:eastAsia="仿宋" w:cs="仿宋"/>
          <w:szCs w:val="21"/>
        </w:rPr>
        <w:t>人民法院起诉。</w:t>
      </w:r>
    </w:p>
    <w:p>
      <w:pPr>
        <w:spacing w:line="360" w:lineRule="auto"/>
        <w:ind w:firstLine="422" w:firstLineChars="200"/>
        <w:outlineLvl w:val="0"/>
        <w:rPr>
          <w:rFonts w:hint="eastAsia" w:ascii="仿宋" w:hAnsi="仿宋" w:eastAsia="仿宋" w:cs="仿宋"/>
          <w:b/>
          <w:szCs w:val="21"/>
        </w:rPr>
      </w:pPr>
      <w:bookmarkStart w:id="240" w:name="_Toc26227"/>
      <w:bookmarkStart w:id="241" w:name="_Toc23784"/>
      <w:bookmarkStart w:id="242" w:name="_Toc30499102"/>
      <w:bookmarkStart w:id="243" w:name="_Toc15827"/>
      <w:bookmarkStart w:id="244" w:name="_Toc16417"/>
      <w:bookmarkStart w:id="245" w:name="_Toc12273"/>
      <w:r>
        <w:rPr>
          <w:rFonts w:hint="eastAsia" w:ascii="仿宋" w:hAnsi="仿宋" w:eastAsia="仿宋" w:cs="仿宋"/>
          <w:b/>
          <w:szCs w:val="21"/>
        </w:rPr>
        <w:t>1.8 合同生效</w:t>
      </w:r>
      <w:bookmarkEnd w:id="240"/>
      <w:bookmarkEnd w:id="241"/>
      <w:bookmarkEnd w:id="242"/>
      <w:bookmarkEnd w:id="243"/>
      <w:bookmarkEnd w:id="244"/>
      <w:bookmarkEnd w:id="245"/>
    </w:p>
    <w:p>
      <w:pPr>
        <w:spacing w:line="360" w:lineRule="auto"/>
        <w:ind w:firstLine="420" w:firstLineChars="200"/>
        <w:rPr>
          <w:rFonts w:hint="eastAsia" w:ascii="仿宋" w:hAnsi="仿宋" w:eastAsia="仿宋" w:cs="仿宋"/>
          <w:b/>
          <w:szCs w:val="21"/>
        </w:rPr>
      </w:pPr>
      <w:r>
        <w:rPr>
          <w:rFonts w:hint="eastAsia" w:ascii="仿宋" w:hAnsi="仿宋" w:eastAsia="仿宋" w:cs="仿宋"/>
          <w:szCs w:val="21"/>
        </w:rPr>
        <w:t>本合同自双方当事人盖章或者签字时生效。</w:t>
      </w:r>
    </w:p>
    <w:p>
      <w:pPr>
        <w:autoSpaceDE w:val="0"/>
        <w:autoSpaceDN w:val="0"/>
        <w:adjustRightInd w:val="0"/>
        <w:spacing w:line="360" w:lineRule="auto"/>
        <w:rPr>
          <w:rFonts w:hint="eastAsia" w:ascii="仿宋" w:hAnsi="仿宋" w:eastAsia="仿宋" w:cs="仿宋"/>
          <w:szCs w:val="21"/>
          <w:lang w:val="zh-CN"/>
        </w:rPr>
      </w:pP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b/>
          <w:szCs w:val="21"/>
          <w:lang w:val="zh-CN"/>
        </w:rPr>
        <w:t>甲方</w:t>
      </w:r>
      <w:r>
        <w:rPr>
          <w:rFonts w:hint="eastAsia" w:ascii="仿宋" w:hAnsi="仿宋" w:eastAsia="仿宋" w:cs="仿宋"/>
          <w:szCs w:val="21"/>
          <w:lang w:val="zh-CN"/>
        </w:rPr>
        <w:t xml:space="preserve">：                             </w:t>
      </w:r>
      <w:r>
        <w:rPr>
          <w:rFonts w:hint="eastAsia" w:ascii="仿宋" w:hAnsi="仿宋" w:eastAsia="仿宋" w:cs="仿宋"/>
          <w:b/>
          <w:szCs w:val="21"/>
          <w:lang w:val="zh-CN"/>
        </w:rPr>
        <w:t xml:space="preserve">      乙方</w:t>
      </w:r>
      <w:r>
        <w:rPr>
          <w:rFonts w:hint="eastAsia" w:ascii="仿宋" w:hAnsi="仿宋" w:eastAsia="仿宋" w:cs="仿宋"/>
          <w:szCs w:val="21"/>
          <w:lang w:val="zh-CN"/>
        </w:rPr>
        <w:t>：</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统一社会信用代码：                        统一社会信用代码或身份证号码：</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住所：                                   住所：</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法定代表人或                             法定代表人</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 xml:space="preserve">授权代表（签字）：                        或授权代表（签字）: </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联系人：                                 联系人：</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约定送达地址：                           约定送达地址：</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邮政编码：                               邮政编码：</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 xml:space="preserve">电话:                                    电话: </w:t>
      </w:r>
    </w:p>
    <w:p>
      <w:pPr>
        <w:autoSpaceDE w:val="0"/>
        <w:autoSpaceDN w:val="0"/>
        <w:adjustRightInd w:val="0"/>
        <w:spacing w:line="360" w:lineRule="auto"/>
        <w:rPr>
          <w:rFonts w:hint="eastAsia" w:ascii="仿宋" w:hAnsi="仿宋" w:eastAsia="仿宋" w:cs="仿宋"/>
          <w:szCs w:val="21"/>
          <w:lang w:val="zh-CN"/>
        </w:rPr>
      </w:pPr>
      <w:r>
        <w:rPr>
          <w:rFonts w:hint="eastAsia" w:ascii="仿宋" w:hAnsi="仿宋" w:eastAsia="仿宋" w:cs="仿宋"/>
          <w:szCs w:val="21"/>
          <w:lang w:val="zh-CN"/>
        </w:rPr>
        <w:t>传真:                                    传真:</w:t>
      </w:r>
    </w:p>
    <w:p>
      <w:pPr>
        <w:autoSpaceDE w:val="0"/>
        <w:autoSpaceDN w:val="0"/>
        <w:adjustRightInd w:val="0"/>
        <w:spacing w:line="360" w:lineRule="auto"/>
        <w:rPr>
          <w:rFonts w:hint="eastAsia" w:ascii="仿宋" w:hAnsi="仿宋" w:eastAsia="仿宋" w:cs="仿宋"/>
          <w:szCs w:val="21"/>
        </w:rPr>
      </w:pPr>
      <w:r>
        <w:rPr>
          <w:rFonts w:hint="eastAsia" w:ascii="仿宋" w:hAnsi="仿宋" w:eastAsia="仿宋" w:cs="仿宋"/>
          <w:szCs w:val="21"/>
          <w:lang w:val="zh-CN"/>
        </w:rPr>
        <w:t>电子邮箱：                               电子邮箱：</w:t>
      </w:r>
    </w:p>
    <w:p>
      <w:pPr>
        <w:autoSpaceDE w:val="0"/>
        <w:autoSpaceDN w:val="0"/>
        <w:adjustRightInd w:val="0"/>
        <w:spacing w:line="360" w:lineRule="auto"/>
        <w:rPr>
          <w:rFonts w:hint="eastAsia" w:ascii="仿宋" w:hAnsi="仿宋" w:eastAsia="仿宋" w:cs="仿宋"/>
          <w:szCs w:val="21"/>
        </w:rPr>
      </w:pPr>
      <w:r>
        <w:rPr>
          <w:rFonts w:hint="eastAsia" w:ascii="仿宋" w:hAnsi="仿宋" w:eastAsia="仿宋" w:cs="仿宋"/>
          <w:szCs w:val="21"/>
        </w:rPr>
        <w:t xml:space="preserve">开户银行：                               开户银行： </w:t>
      </w:r>
    </w:p>
    <w:p>
      <w:pPr>
        <w:autoSpaceDE w:val="0"/>
        <w:autoSpaceDN w:val="0"/>
        <w:adjustRightInd w:val="0"/>
        <w:spacing w:line="360" w:lineRule="auto"/>
        <w:rPr>
          <w:rFonts w:hint="eastAsia" w:ascii="仿宋" w:hAnsi="仿宋" w:eastAsia="仿宋" w:cs="仿宋"/>
          <w:szCs w:val="21"/>
        </w:rPr>
      </w:pPr>
      <w:r>
        <w:rPr>
          <w:rFonts w:hint="eastAsia" w:ascii="仿宋" w:hAnsi="仿宋" w:eastAsia="仿宋" w:cs="仿宋"/>
          <w:szCs w:val="21"/>
        </w:rPr>
        <w:t xml:space="preserve">开户名称：                               开户名称： </w:t>
      </w:r>
    </w:p>
    <w:p>
      <w:pPr>
        <w:autoSpaceDE w:val="0"/>
        <w:autoSpaceDN w:val="0"/>
        <w:adjustRightInd w:val="0"/>
        <w:spacing w:line="360" w:lineRule="auto"/>
        <w:rPr>
          <w:rFonts w:hint="eastAsia" w:ascii="仿宋" w:hAnsi="仿宋" w:eastAsia="仿宋" w:cs="仿宋"/>
          <w:szCs w:val="21"/>
        </w:rPr>
      </w:pPr>
      <w:r>
        <w:rPr>
          <w:rFonts w:hint="eastAsia" w:ascii="仿宋" w:hAnsi="仿宋" w:eastAsia="仿宋" w:cs="仿宋"/>
          <w:szCs w:val="21"/>
        </w:rPr>
        <w:t>开户账号：</w:t>
      </w:r>
      <w:r>
        <w:rPr>
          <w:rFonts w:hint="eastAsia" w:ascii="仿宋" w:hAnsi="仿宋" w:eastAsia="仿宋" w:cs="仿宋"/>
          <w:szCs w:val="21"/>
          <w:lang w:val="zh-CN"/>
        </w:rPr>
        <w:t xml:space="preserve">                               </w:t>
      </w:r>
      <w:r>
        <w:rPr>
          <w:rFonts w:hint="eastAsia" w:ascii="仿宋" w:hAnsi="仿宋" w:eastAsia="仿宋" w:cs="仿宋"/>
          <w:szCs w:val="21"/>
        </w:rPr>
        <w:t>开户账号：</w:t>
      </w:r>
    </w:p>
    <w:p>
      <w:pPr>
        <w:widowControl/>
        <w:spacing w:line="360" w:lineRule="auto"/>
        <w:jc w:val="left"/>
        <w:rPr>
          <w:rFonts w:hint="eastAsia" w:ascii="仿宋" w:hAnsi="仿宋" w:eastAsia="仿宋" w:cs="仿宋"/>
          <w:b/>
          <w:szCs w:val="21"/>
        </w:rPr>
      </w:pPr>
      <w:bookmarkStart w:id="246" w:name="_Toc331685783"/>
    </w:p>
    <w:p>
      <w:pPr>
        <w:widowControl/>
        <w:spacing w:line="360" w:lineRule="auto"/>
        <w:jc w:val="left"/>
        <w:rPr>
          <w:rFonts w:hint="eastAsia" w:ascii="仿宋" w:hAnsi="仿宋" w:eastAsia="仿宋" w:cs="仿宋"/>
          <w:b/>
          <w:szCs w:val="21"/>
        </w:rPr>
      </w:pPr>
    </w:p>
    <w:p>
      <w:pPr>
        <w:widowControl/>
        <w:spacing w:line="360" w:lineRule="auto"/>
        <w:jc w:val="left"/>
        <w:rPr>
          <w:rFonts w:hint="eastAsia" w:ascii="仿宋" w:hAnsi="仿宋" w:eastAsia="仿宋" w:cs="仿宋"/>
          <w:b/>
          <w:kern w:val="0"/>
          <w:szCs w:val="21"/>
        </w:rPr>
      </w:pPr>
    </w:p>
    <w:p>
      <w:pPr>
        <w:widowControl/>
        <w:spacing w:line="360" w:lineRule="auto"/>
        <w:jc w:val="left"/>
        <w:rPr>
          <w:rFonts w:hint="eastAsia" w:ascii="仿宋" w:hAnsi="仿宋" w:eastAsia="仿宋" w:cs="仿宋"/>
          <w:b/>
          <w:kern w:val="0"/>
          <w:szCs w:val="21"/>
        </w:rPr>
      </w:pPr>
    </w:p>
    <w:p>
      <w:pPr>
        <w:widowControl/>
        <w:spacing w:line="360" w:lineRule="auto"/>
        <w:jc w:val="left"/>
        <w:rPr>
          <w:rFonts w:hint="eastAsia" w:ascii="仿宋" w:hAnsi="仿宋" w:eastAsia="仿宋" w:cs="仿宋"/>
          <w:b/>
          <w:kern w:val="0"/>
          <w:szCs w:val="21"/>
        </w:rPr>
      </w:pPr>
    </w:p>
    <w:p>
      <w:pPr>
        <w:widowControl/>
        <w:spacing w:line="360" w:lineRule="auto"/>
        <w:jc w:val="left"/>
        <w:rPr>
          <w:rFonts w:hint="eastAsia" w:ascii="仿宋" w:hAnsi="仿宋" w:eastAsia="仿宋" w:cs="仿宋"/>
          <w:b/>
          <w:kern w:val="0"/>
          <w:szCs w:val="21"/>
        </w:rPr>
      </w:pPr>
    </w:p>
    <w:p>
      <w:pPr>
        <w:widowControl/>
        <w:spacing w:line="360" w:lineRule="auto"/>
        <w:jc w:val="left"/>
        <w:rPr>
          <w:rFonts w:hint="eastAsia" w:ascii="仿宋" w:hAnsi="仿宋" w:eastAsia="仿宋" w:cs="仿宋"/>
          <w:b/>
          <w:kern w:val="0"/>
          <w:szCs w:val="21"/>
        </w:rPr>
      </w:pPr>
    </w:p>
    <w:p>
      <w:pPr>
        <w:widowControl/>
        <w:spacing w:line="360" w:lineRule="auto"/>
        <w:jc w:val="left"/>
        <w:rPr>
          <w:rFonts w:hint="eastAsia" w:ascii="仿宋" w:hAnsi="仿宋" w:eastAsia="仿宋" w:cs="仿宋"/>
          <w:b/>
          <w:kern w:val="0"/>
          <w:szCs w:val="21"/>
        </w:rPr>
      </w:pPr>
    </w:p>
    <w:p>
      <w:pPr>
        <w:pStyle w:val="67"/>
        <w:spacing w:line="360" w:lineRule="auto"/>
        <w:ind w:firstLine="200"/>
        <w:jc w:val="center"/>
        <w:rPr>
          <w:rFonts w:hint="eastAsia" w:ascii="仿宋" w:hAnsi="仿宋" w:eastAsia="仿宋" w:cs="仿宋"/>
          <w:b/>
          <w:szCs w:val="21"/>
        </w:rPr>
      </w:pPr>
      <w:r>
        <w:rPr>
          <w:rFonts w:hint="eastAsia" w:ascii="仿宋" w:hAnsi="仿宋" w:eastAsia="仿宋" w:cs="仿宋"/>
          <w:b/>
          <w:szCs w:val="21"/>
        </w:rPr>
        <w:br w:type="page"/>
      </w:r>
      <w:r>
        <w:rPr>
          <w:rFonts w:hint="eastAsia" w:ascii="仿宋" w:hAnsi="仿宋" w:eastAsia="仿宋" w:cs="仿宋"/>
          <w:b/>
          <w:szCs w:val="21"/>
        </w:rPr>
        <w:t>第二部分 合同一般条款</w:t>
      </w:r>
      <w:bookmarkEnd w:id="246"/>
    </w:p>
    <w:p>
      <w:pPr>
        <w:spacing w:line="360" w:lineRule="auto"/>
        <w:ind w:firstLine="422" w:firstLineChars="200"/>
        <w:outlineLvl w:val="0"/>
        <w:rPr>
          <w:rFonts w:hint="eastAsia" w:ascii="仿宋" w:hAnsi="仿宋" w:eastAsia="仿宋" w:cs="仿宋"/>
          <w:b/>
          <w:szCs w:val="21"/>
        </w:rPr>
      </w:pPr>
      <w:bookmarkStart w:id="247" w:name="_Ref467379195"/>
      <w:bookmarkStart w:id="248" w:name="_Ref467379225"/>
      <w:bookmarkStart w:id="249" w:name="_Toc31297"/>
      <w:bookmarkStart w:id="250" w:name="_Toc259093669"/>
      <w:bookmarkStart w:id="251" w:name="_Ref467378499"/>
      <w:bookmarkStart w:id="252" w:name="_Ref467379214"/>
      <w:bookmarkStart w:id="253" w:name="_Toc25079"/>
      <w:bookmarkStart w:id="254" w:name="_Ref467379109"/>
      <w:bookmarkStart w:id="255" w:name="_Ref467378463"/>
      <w:bookmarkStart w:id="256" w:name="_Toc30499103"/>
      <w:bookmarkStart w:id="257" w:name="_Toc19680"/>
      <w:bookmarkStart w:id="258" w:name="_Toc487900349"/>
      <w:bookmarkStart w:id="259" w:name="_Ref467379094"/>
      <w:bookmarkStart w:id="260" w:name="_Ref467378404"/>
      <w:bookmarkStart w:id="261" w:name="_Toc5228"/>
      <w:bookmarkStart w:id="262" w:name="_Toc14021"/>
      <w:bookmarkStart w:id="263" w:name="_Ref467379205"/>
      <w:bookmarkStart w:id="264" w:name="_Toc279701240"/>
      <w:bookmarkStart w:id="265" w:name="_Ref467379101"/>
      <w:r>
        <w:rPr>
          <w:rFonts w:hint="eastAsia" w:ascii="仿宋" w:hAnsi="仿宋" w:eastAsia="仿宋" w:cs="仿宋"/>
          <w:b/>
          <w:szCs w:val="21"/>
        </w:rPr>
        <w:t>2.1 定义</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本合同中的下列词语应按以下内容进行解释：</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2.1.1 “合同”系指采购人和中标供应商签订的载明双方当事人所达成的协议，并包括所有的附件、附录和构成合同的其他文件。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2.1.2 “合同价”系指根据合同约定，中标供应商在完全履行合同义务后，采购人应支付给中标供应商的价格。</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2.1.3 “服务”系指中标供应商根据合同约定应向采购人履行的所有服务。</w:t>
      </w:r>
    </w:p>
    <w:p>
      <w:pPr>
        <w:spacing w:line="360" w:lineRule="auto"/>
        <w:ind w:firstLine="420" w:firstLineChars="200"/>
        <w:rPr>
          <w:rFonts w:hint="eastAsia" w:ascii="仿宋" w:hAnsi="仿宋" w:eastAsia="仿宋" w:cs="仿宋"/>
          <w:szCs w:val="21"/>
        </w:rPr>
      </w:pPr>
      <w:bookmarkStart w:id="266" w:name="_Ref467378840"/>
      <w:r>
        <w:rPr>
          <w:rFonts w:hint="eastAsia" w:ascii="仿宋" w:hAnsi="仿宋" w:eastAsia="仿宋" w:cs="仿宋"/>
          <w:szCs w:val="21"/>
        </w:rPr>
        <w:t>2.1.4 “甲方”系指与中标供应商签署合同的采购人</w:t>
      </w:r>
      <w:bookmarkEnd w:id="266"/>
      <w:r>
        <w:rPr>
          <w:rFonts w:hint="eastAsia" w:ascii="仿宋" w:hAnsi="仿宋" w:eastAsia="仿宋" w:cs="仿宋"/>
          <w:szCs w:val="21"/>
        </w:rPr>
        <w:t>；采购人委托采购代理机构代表其与乙方签订合同的，采购人的授权委托书作为合同附件。</w:t>
      </w:r>
    </w:p>
    <w:p>
      <w:pPr>
        <w:spacing w:line="360" w:lineRule="auto"/>
        <w:ind w:firstLine="420" w:firstLineChars="200"/>
        <w:rPr>
          <w:rFonts w:hint="eastAsia" w:ascii="仿宋" w:hAnsi="仿宋" w:eastAsia="仿宋" w:cs="仿宋"/>
          <w:szCs w:val="21"/>
        </w:rPr>
      </w:pPr>
      <w:bookmarkStart w:id="267" w:name="_Ref467379400"/>
      <w:r>
        <w:rPr>
          <w:rFonts w:hint="eastAsia" w:ascii="仿宋" w:hAnsi="仿宋" w:eastAsia="仿宋" w:cs="仿宋"/>
          <w:szCs w:val="21"/>
        </w:rPr>
        <w:t>2.1.5 “乙方”系指根据合同约定提供服务的中标供应商</w:t>
      </w:r>
      <w:bookmarkEnd w:id="267"/>
      <w:r>
        <w:rPr>
          <w:rFonts w:hint="eastAsia" w:ascii="仿宋" w:hAnsi="仿宋" w:eastAsia="仿宋" w:cs="仿宋"/>
          <w:szCs w:val="21"/>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360" w:lineRule="auto"/>
        <w:ind w:firstLine="420" w:firstLineChars="200"/>
        <w:rPr>
          <w:rFonts w:hint="eastAsia" w:ascii="仿宋" w:hAnsi="仿宋" w:eastAsia="仿宋" w:cs="仿宋"/>
          <w:szCs w:val="21"/>
        </w:rPr>
      </w:pPr>
      <w:bookmarkStart w:id="268" w:name="_Ref467379436"/>
      <w:r>
        <w:rPr>
          <w:rFonts w:hint="eastAsia" w:ascii="仿宋" w:hAnsi="仿宋" w:eastAsia="仿宋" w:cs="仿宋"/>
          <w:szCs w:val="21"/>
        </w:rPr>
        <w:t>2.1.6 “现场”系指合同约定提供服务的地点。</w:t>
      </w:r>
      <w:bookmarkEnd w:id="268"/>
    </w:p>
    <w:p>
      <w:pPr>
        <w:spacing w:line="360" w:lineRule="auto"/>
        <w:ind w:firstLine="422" w:firstLineChars="200"/>
        <w:outlineLvl w:val="0"/>
        <w:rPr>
          <w:rFonts w:hint="eastAsia" w:ascii="仿宋" w:hAnsi="仿宋" w:eastAsia="仿宋" w:cs="仿宋"/>
          <w:b/>
          <w:szCs w:val="21"/>
        </w:rPr>
      </w:pPr>
      <w:bookmarkStart w:id="269" w:name="_Toc30499104"/>
      <w:bookmarkStart w:id="270" w:name="_Toc279701241"/>
      <w:bookmarkStart w:id="271" w:name="_Toc259093670"/>
      <w:bookmarkStart w:id="272" w:name="_Toc19539"/>
      <w:bookmarkStart w:id="273" w:name="_Toc487900350"/>
      <w:bookmarkStart w:id="274" w:name="_Toc23289"/>
      <w:bookmarkStart w:id="275" w:name="_Toc3769"/>
      <w:bookmarkStart w:id="276" w:name="_Toc16752"/>
      <w:bookmarkStart w:id="277" w:name="_Toc31402"/>
      <w:r>
        <w:rPr>
          <w:rFonts w:hint="eastAsia" w:ascii="仿宋" w:hAnsi="仿宋" w:eastAsia="仿宋" w:cs="仿宋"/>
          <w:b/>
          <w:szCs w:val="21"/>
        </w:rPr>
        <w:t>2.2 技术规范</w:t>
      </w:r>
      <w:bookmarkEnd w:id="269"/>
      <w:bookmarkEnd w:id="270"/>
      <w:bookmarkEnd w:id="271"/>
      <w:bookmarkEnd w:id="272"/>
      <w:bookmarkEnd w:id="273"/>
      <w:bookmarkEnd w:id="274"/>
      <w:bookmarkEnd w:id="275"/>
      <w:bookmarkEnd w:id="276"/>
      <w:bookmarkEnd w:id="277"/>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360" w:lineRule="auto"/>
        <w:ind w:firstLine="422" w:firstLineChars="200"/>
        <w:outlineLvl w:val="0"/>
        <w:rPr>
          <w:rFonts w:hint="eastAsia" w:ascii="仿宋" w:hAnsi="仿宋" w:eastAsia="仿宋" w:cs="仿宋"/>
          <w:b/>
          <w:szCs w:val="21"/>
        </w:rPr>
      </w:pPr>
      <w:bookmarkStart w:id="278" w:name="_Toc30499105"/>
      <w:bookmarkStart w:id="279" w:name="_Toc9161"/>
      <w:bookmarkStart w:id="280" w:name="_Toc27945"/>
      <w:bookmarkStart w:id="281" w:name="_Toc13673"/>
      <w:bookmarkStart w:id="282" w:name="_Toc259093671"/>
      <w:bookmarkStart w:id="283" w:name="_Toc487900351"/>
      <w:bookmarkStart w:id="284" w:name="_Toc4133"/>
      <w:bookmarkStart w:id="285" w:name="_Toc12412"/>
      <w:bookmarkStart w:id="286" w:name="_Toc279701242"/>
      <w:r>
        <w:rPr>
          <w:rFonts w:hint="eastAsia" w:ascii="仿宋" w:hAnsi="仿宋" w:eastAsia="仿宋" w:cs="仿宋"/>
          <w:b/>
          <w:szCs w:val="21"/>
        </w:rPr>
        <w:t>2.3 知识产权</w:t>
      </w:r>
      <w:bookmarkEnd w:id="278"/>
      <w:bookmarkEnd w:id="279"/>
      <w:bookmarkEnd w:id="280"/>
      <w:bookmarkEnd w:id="281"/>
      <w:bookmarkEnd w:id="282"/>
      <w:bookmarkEnd w:id="283"/>
      <w:bookmarkEnd w:id="284"/>
      <w:bookmarkEnd w:id="285"/>
      <w:bookmarkEnd w:id="286"/>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2.3.1 乙方应保证其提供的服务不受任何第三方提出的侵犯其著作权、商标权、专利权等知识产权方面的起诉；如果任何第三方提出侵权指控，那么乙方须与该第三方交涉并承担由此发生的一切责任、费用和赔偿；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2.3.2 合同涉及技术成果的归属和收益的分成办法的，详见</w:t>
      </w:r>
      <w:r>
        <w:rPr>
          <w:rFonts w:hint="eastAsia" w:ascii="仿宋" w:hAnsi="仿宋" w:eastAsia="仿宋" w:cs="仿宋"/>
          <w:b/>
          <w:i/>
          <w:szCs w:val="21"/>
          <w:u w:val="single"/>
        </w:rPr>
        <w:t>合同专用条款</w:t>
      </w:r>
      <w:r>
        <w:rPr>
          <w:rFonts w:hint="eastAsia" w:ascii="仿宋" w:hAnsi="仿宋" w:eastAsia="仿宋" w:cs="仿宋"/>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2.4 履约检查和问题反馈</w:t>
      </w:r>
    </w:p>
    <w:p>
      <w:pPr>
        <w:spacing w:line="360" w:lineRule="auto"/>
        <w:ind w:firstLine="420" w:firstLineChars="200"/>
        <w:rPr>
          <w:rFonts w:hint="eastAsia" w:ascii="仿宋" w:hAnsi="仿宋" w:eastAsia="仿宋" w:cs="仿宋"/>
          <w:szCs w:val="21"/>
        </w:rPr>
      </w:pPr>
      <w:bookmarkStart w:id="287" w:name="_Ref467379657"/>
      <w:r>
        <w:rPr>
          <w:rFonts w:hint="eastAsia" w:ascii="仿宋" w:hAnsi="仿宋" w:eastAsia="仿宋" w:cs="仿宋"/>
          <w:szCs w:val="21"/>
        </w:rPr>
        <w:t>2.4.1</w:t>
      </w:r>
      <w:bookmarkEnd w:id="287"/>
      <w:bookmarkStart w:id="288" w:name="_Toc186431854"/>
      <w:bookmarkStart w:id="289" w:name="_Toc259093676"/>
      <w:bookmarkStart w:id="290" w:name="_Ref467379807"/>
      <w:bookmarkStart w:id="291" w:name="_Toc487900357"/>
      <w:bookmarkStart w:id="292" w:name="_Toc279701247"/>
      <w:bookmarkStart w:id="293" w:name="_Ref467379793"/>
      <w:r>
        <w:rPr>
          <w:rFonts w:hint="eastAsia" w:ascii="仿宋" w:hAnsi="仿宋" w:eastAsia="仿宋" w:cs="仿宋"/>
          <w:szCs w:val="21"/>
        </w:rPr>
        <w:t>甲方有权在其认为必要时，对乙方是否能够按照合同约定提供服务进行履约检查，以确保乙方所提供的服务能够依约满足甲方之项目需求，但不得因履约检查妨碍乙方的正常工作，乙方应予积极配合；</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2.4.2 合同履行期间，甲方有权将履行过程中出现的问题反馈给乙方，双方当事人应以书面形式约定需要完善和改进的内容</w:t>
      </w:r>
      <w:bookmarkEnd w:id="288"/>
      <w:bookmarkStart w:id="294" w:name="_Toc186431855"/>
      <w:r>
        <w:rPr>
          <w:rFonts w:hint="eastAsia" w:ascii="仿宋" w:hAnsi="仿宋" w:eastAsia="仿宋" w:cs="仿宋"/>
          <w:szCs w:val="21"/>
        </w:rPr>
        <w:t>。</w:t>
      </w:r>
    </w:p>
    <w:bookmarkEnd w:id="294"/>
    <w:p>
      <w:pPr>
        <w:spacing w:line="360" w:lineRule="auto"/>
        <w:ind w:firstLine="422" w:firstLineChars="200"/>
        <w:outlineLvl w:val="0"/>
        <w:rPr>
          <w:rFonts w:hint="eastAsia" w:ascii="仿宋" w:hAnsi="仿宋" w:eastAsia="仿宋" w:cs="仿宋"/>
          <w:b/>
          <w:szCs w:val="21"/>
        </w:rPr>
      </w:pPr>
      <w:bookmarkStart w:id="295" w:name="_Toc31233"/>
      <w:bookmarkStart w:id="296" w:name="_Toc30499106"/>
      <w:bookmarkStart w:id="297" w:name="_Toc32670"/>
      <w:bookmarkStart w:id="298" w:name="_Toc22011"/>
      <w:bookmarkStart w:id="299" w:name="_Toc26555"/>
      <w:bookmarkStart w:id="300" w:name="_Toc15447"/>
      <w:r>
        <w:rPr>
          <w:rFonts w:hint="eastAsia" w:ascii="仿宋" w:hAnsi="仿宋" w:eastAsia="仿宋" w:cs="仿宋"/>
          <w:b/>
          <w:szCs w:val="21"/>
        </w:rPr>
        <w:t>2.5 结算方式和付款条件</w:t>
      </w:r>
      <w:bookmarkEnd w:id="289"/>
      <w:bookmarkEnd w:id="290"/>
      <w:bookmarkEnd w:id="291"/>
      <w:bookmarkEnd w:id="292"/>
      <w:bookmarkEnd w:id="293"/>
      <w:bookmarkEnd w:id="295"/>
      <w:bookmarkEnd w:id="296"/>
      <w:bookmarkEnd w:id="297"/>
      <w:bookmarkEnd w:id="298"/>
      <w:bookmarkEnd w:id="299"/>
      <w:bookmarkEnd w:id="300"/>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详见</w:t>
      </w:r>
      <w:r>
        <w:rPr>
          <w:rFonts w:hint="eastAsia" w:ascii="仿宋" w:hAnsi="仿宋" w:eastAsia="仿宋" w:cs="仿宋"/>
          <w:b/>
          <w:i/>
          <w:szCs w:val="21"/>
          <w:u w:val="single"/>
        </w:rPr>
        <w:t>合同专用条款</w:t>
      </w:r>
      <w:r>
        <w:rPr>
          <w:rFonts w:hint="eastAsia" w:ascii="仿宋" w:hAnsi="仿宋" w:eastAsia="仿宋" w:cs="仿宋"/>
          <w:szCs w:val="21"/>
        </w:rPr>
        <w:t>。</w:t>
      </w:r>
    </w:p>
    <w:p>
      <w:pPr>
        <w:spacing w:line="360" w:lineRule="auto"/>
        <w:ind w:firstLine="422" w:firstLineChars="200"/>
        <w:outlineLvl w:val="0"/>
        <w:rPr>
          <w:rFonts w:hint="eastAsia" w:ascii="仿宋" w:hAnsi="仿宋" w:eastAsia="仿宋" w:cs="仿宋"/>
          <w:b/>
          <w:szCs w:val="21"/>
        </w:rPr>
      </w:pPr>
      <w:bookmarkStart w:id="301" w:name="_Ref467379923"/>
      <w:bookmarkStart w:id="302" w:name="_Toc279701248"/>
      <w:bookmarkStart w:id="303" w:name="_Toc487900358"/>
      <w:bookmarkStart w:id="304" w:name="_Ref467379852"/>
      <w:bookmarkStart w:id="305" w:name="_Toc259093677"/>
      <w:bookmarkStart w:id="306" w:name="_Ref467379863"/>
      <w:bookmarkStart w:id="307" w:name="_Toc13467"/>
      <w:bookmarkStart w:id="308" w:name="_Toc13154"/>
      <w:bookmarkStart w:id="309" w:name="_Toc30507"/>
      <w:bookmarkStart w:id="310" w:name="_Toc18990"/>
      <w:bookmarkStart w:id="311" w:name="_Toc30499107"/>
      <w:bookmarkStart w:id="312" w:name="_Toc16163"/>
      <w:r>
        <w:rPr>
          <w:rFonts w:hint="eastAsia" w:ascii="仿宋" w:hAnsi="仿宋" w:eastAsia="仿宋" w:cs="仿宋"/>
          <w:b/>
          <w:szCs w:val="21"/>
        </w:rPr>
        <w:t>2.6 技术资料</w:t>
      </w:r>
      <w:bookmarkEnd w:id="301"/>
      <w:bookmarkEnd w:id="302"/>
      <w:bookmarkEnd w:id="303"/>
      <w:bookmarkEnd w:id="304"/>
      <w:bookmarkEnd w:id="305"/>
      <w:bookmarkEnd w:id="306"/>
      <w:r>
        <w:rPr>
          <w:rFonts w:hint="eastAsia" w:ascii="仿宋" w:hAnsi="仿宋" w:eastAsia="仿宋" w:cs="仿宋"/>
          <w:b/>
          <w:szCs w:val="21"/>
        </w:rPr>
        <w:t>和保密义务</w:t>
      </w:r>
      <w:bookmarkEnd w:id="307"/>
      <w:bookmarkEnd w:id="308"/>
      <w:bookmarkEnd w:id="309"/>
      <w:bookmarkEnd w:id="310"/>
      <w:bookmarkEnd w:id="311"/>
      <w:bookmarkEnd w:id="312"/>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2.6.1 乙方有权依据合同约定和项目需要，向甲方了解有关情况，调阅有关资料等，甲方应予积极配合；</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2.6.2 乙方有义务妥善保管和保护由甲方提供的前款信息和资料等；</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360" w:lineRule="auto"/>
        <w:ind w:firstLine="422" w:firstLineChars="200"/>
        <w:outlineLvl w:val="0"/>
        <w:rPr>
          <w:rFonts w:hint="eastAsia" w:ascii="仿宋" w:hAnsi="仿宋" w:eastAsia="仿宋" w:cs="仿宋"/>
          <w:b/>
          <w:szCs w:val="21"/>
        </w:rPr>
      </w:pPr>
      <w:bookmarkStart w:id="313" w:name="_Toc19069"/>
      <w:bookmarkStart w:id="314" w:name="_Toc30499108"/>
      <w:bookmarkStart w:id="315" w:name="_Toc487900362"/>
      <w:bookmarkStart w:id="316" w:name="_Toc279701252"/>
      <w:bookmarkStart w:id="317" w:name="_Toc259093681"/>
      <w:r>
        <w:rPr>
          <w:rFonts w:hint="eastAsia" w:ascii="仿宋" w:hAnsi="仿宋" w:eastAsia="仿宋" w:cs="仿宋"/>
          <w:b/>
          <w:szCs w:val="21"/>
        </w:rPr>
        <w:t>2.7 质量保证</w:t>
      </w:r>
      <w:bookmarkEnd w:id="313"/>
      <w:bookmarkEnd w:id="314"/>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2.7.1 乙方应建立和完善履行合同的内部质量保证体系，并提供相关内部规章制度给甲方，以便甲方进行监督检查；</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2.7.2 乙方应保证履行合同的人员数量和素质、软件和硬件设备的配置、场地、环境和设施等满足全面履行合同的要求，并应接受甲方的监督检查。</w:t>
      </w:r>
    </w:p>
    <w:p>
      <w:pPr>
        <w:spacing w:line="360" w:lineRule="auto"/>
        <w:ind w:firstLine="422" w:firstLineChars="200"/>
        <w:outlineLvl w:val="0"/>
        <w:rPr>
          <w:rFonts w:hint="eastAsia" w:ascii="仿宋" w:hAnsi="仿宋" w:eastAsia="仿宋" w:cs="仿宋"/>
          <w:b/>
          <w:szCs w:val="21"/>
        </w:rPr>
      </w:pPr>
      <w:bookmarkStart w:id="318" w:name="_Toc22267"/>
      <w:bookmarkStart w:id="319" w:name="_Toc30499109"/>
      <w:r>
        <w:rPr>
          <w:rFonts w:hint="eastAsia" w:ascii="仿宋" w:hAnsi="仿宋" w:eastAsia="仿宋" w:cs="仿宋"/>
          <w:b/>
          <w:szCs w:val="21"/>
        </w:rPr>
        <w:t>2.8 延迟</w:t>
      </w:r>
      <w:bookmarkEnd w:id="315"/>
      <w:bookmarkEnd w:id="316"/>
      <w:bookmarkEnd w:id="317"/>
      <w:r>
        <w:rPr>
          <w:rFonts w:hint="eastAsia" w:ascii="仿宋" w:hAnsi="仿宋" w:eastAsia="仿宋" w:cs="仿宋"/>
          <w:b/>
          <w:szCs w:val="21"/>
        </w:rPr>
        <w:t>履行</w:t>
      </w:r>
      <w:bookmarkEnd w:id="318"/>
      <w:bookmarkEnd w:id="319"/>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pPr>
        <w:spacing w:line="360" w:lineRule="auto"/>
        <w:ind w:firstLine="422" w:firstLineChars="200"/>
        <w:outlineLvl w:val="0"/>
        <w:rPr>
          <w:rFonts w:hint="eastAsia" w:ascii="仿宋" w:hAnsi="仿宋" w:eastAsia="仿宋" w:cs="仿宋"/>
          <w:b/>
          <w:szCs w:val="21"/>
        </w:rPr>
      </w:pPr>
      <w:bookmarkStart w:id="320" w:name="_Toc10611"/>
      <w:bookmarkStart w:id="321" w:name="_Toc30499110"/>
      <w:bookmarkStart w:id="322" w:name="_Toc279701254"/>
      <w:bookmarkStart w:id="323" w:name="_Toc487900364"/>
      <w:bookmarkStart w:id="324" w:name="_Toc259093683"/>
      <w:bookmarkStart w:id="325" w:name="_Ref467378121"/>
      <w:r>
        <w:rPr>
          <w:rFonts w:hint="eastAsia" w:ascii="仿宋" w:hAnsi="仿宋" w:eastAsia="仿宋" w:cs="仿宋"/>
          <w:b/>
          <w:szCs w:val="21"/>
        </w:rPr>
        <w:t>2.9 合同变更</w:t>
      </w:r>
      <w:bookmarkEnd w:id="320"/>
      <w:bookmarkEnd w:id="32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2.9.1 双方当事人协商一致，可以签订书面补充合同的形式变更合同，但不得违背采购文件确定的事项，且如果系追加与合同标的相同的服务的，那么所有补充合同的采购金额不得超过原合同价的10%；</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2.9.2 合同继续履行将损害国家利益和社会公共利益的，双方当事人应当以书面形式变更合同。有过错的一方应当承担赔偿责任，双方当事人都有过错的，各自承担相应的责任。</w:t>
      </w:r>
      <w:bookmarkStart w:id="326" w:name="_Toc259093688"/>
      <w:bookmarkStart w:id="327" w:name="_Toc279701259"/>
      <w:bookmarkStart w:id="328" w:name="_Toc487900369"/>
    </w:p>
    <w:p>
      <w:pPr>
        <w:spacing w:line="360" w:lineRule="auto"/>
        <w:ind w:firstLine="422" w:firstLineChars="200"/>
        <w:outlineLvl w:val="0"/>
        <w:rPr>
          <w:rFonts w:hint="eastAsia" w:ascii="仿宋" w:hAnsi="仿宋" w:eastAsia="仿宋" w:cs="仿宋"/>
          <w:b/>
          <w:szCs w:val="21"/>
        </w:rPr>
      </w:pPr>
      <w:bookmarkStart w:id="329" w:name="_Toc23368"/>
      <w:bookmarkStart w:id="330" w:name="_Toc10663"/>
      <w:bookmarkStart w:id="331" w:name="_Toc30499111"/>
      <w:bookmarkStart w:id="332" w:name="_Toc26689"/>
      <w:bookmarkStart w:id="333" w:name="_Toc21830"/>
      <w:bookmarkStart w:id="334" w:name="_Toc42"/>
      <w:r>
        <w:rPr>
          <w:rFonts w:hint="eastAsia" w:ascii="仿宋" w:hAnsi="仿宋" w:eastAsia="仿宋" w:cs="仿宋"/>
          <w:b/>
          <w:szCs w:val="21"/>
        </w:rPr>
        <w:t>2.10 合同转让</w:t>
      </w:r>
      <w:bookmarkEnd w:id="326"/>
      <w:bookmarkEnd w:id="327"/>
      <w:bookmarkEnd w:id="328"/>
      <w:r>
        <w:rPr>
          <w:rFonts w:hint="eastAsia" w:ascii="仿宋" w:hAnsi="仿宋" w:eastAsia="仿宋" w:cs="仿宋"/>
          <w:b/>
          <w:szCs w:val="21"/>
        </w:rPr>
        <w:t>和分包</w:t>
      </w:r>
      <w:bookmarkEnd w:id="329"/>
      <w:bookmarkEnd w:id="330"/>
      <w:bookmarkEnd w:id="331"/>
      <w:bookmarkEnd w:id="332"/>
      <w:bookmarkEnd w:id="333"/>
      <w:bookmarkEnd w:id="334"/>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360" w:lineRule="auto"/>
        <w:ind w:firstLine="422" w:firstLineChars="200"/>
        <w:outlineLvl w:val="0"/>
        <w:rPr>
          <w:rFonts w:hint="eastAsia" w:ascii="仿宋" w:hAnsi="仿宋" w:eastAsia="仿宋" w:cs="仿宋"/>
          <w:b/>
          <w:szCs w:val="21"/>
        </w:rPr>
      </w:pPr>
      <w:bookmarkStart w:id="335" w:name="_Toc26633"/>
      <w:bookmarkStart w:id="336" w:name="_Toc4720"/>
      <w:bookmarkStart w:id="337" w:name="_Toc14371"/>
      <w:bookmarkStart w:id="338" w:name="_Toc30499112"/>
      <w:bookmarkStart w:id="339" w:name="_Toc32494"/>
      <w:bookmarkStart w:id="340" w:name="_Toc25571"/>
      <w:r>
        <w:rPr>
          <w:rFonts w:hint="eastAsia" w:ascii="仿宋" w:hAnsi="仿宋" w:eastAsia="仿宋" w:cs="仿宋"/>
          <w:b/>
          <w:szCs w:val="21"/>
        </w:rPr>
        <w:t>2.11 不可抗力</w:t>
      </w:r>
      <w:bookmarkEnd w:id="335"/>
      <w:bookmarkEnd w:id="336"/>
      <w:bookmarkEnd w:id="337"/>
      <w:bookmarkEnd w:id="338"/>
      <w:bookmarkEnd w:id="339"/>
      <w:bookmarkEnd w:id="340"/>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2.11.1如果任何一方遭遇法律规定的不可抗力，致使合同履行受阻时，履行合同的期限应予延长，延长的期限应相当于不可抗力所影响的时间；</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2.11.2 因不可抗力致使不能实现合同目的的，当事人可以解除合同；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2.11.3 因不可抗力致使合同有变更必要的，双方当事人应在</w:t>
      </w:r>
      <w:r>
        <w:rPr>
          <w:rFonts w:hint="eastAsia" w:ascii="仿宋" w:hAnsi="仿宋" w:eastAsia="仿宋" w:cs="仿宋"/>
          <w:b/>
          <w:i/>
          <w:szCs w:val="21"/>
          <w:u w:val="single"/>
        </w:rPr>
        <w:t>合同专用条款</w:t>
      </w:r>
      <w:r>
        <w:rPr>
          <w:rFonts w:hint="eastAsia" w:ascii="仿宋" w:hAnsi="仿宋" w:eastAsia="仿宋" w:cs="仿宋"/>
          <w:szCs w:val="21"/>
        </w:rPr>
        <w:t>约定时间内以书面形式变更合同；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2.11.4受不可抗力影响的一方在不可抗力发生后，应在</w:t>
      </w:r>
      <w:r>
        <w:rPr>
          <w:rFonts w:hint="eastAsia" w:ascii="仿宋" w:hAnsi="仿宋" w:eastAsia="仿宋" w:cs="仿宋"/>
          <w:b/>
          <w:i/>
          <w:szCs w:val="21"/>
          <w:u w:val="single"/>
        </w:rPr>
        <w:t>合同专用条款</w:t>
      </w:r>
      <w:r>
        <w:rPr>
          <w:rFonts w:hint="eastAsia" w:ascii="仿宋" w:hAnsi="仿宋" w:eastAsia="仿宋" w:cs="仿宋"/>
          <w:szCs w:val="21"/>
        </w:rPr>
        <w:t>约定时间内以书面形式通知对方当事人，并在</w:t>
      </w:r>
      <w:r>
        <w:rPr>
          <w:rFonts w:hint="eastAsia" w:ascii="仿宋" w:hAnsi="仿宋" w:eastAsia="仿宋" w:cs="仿宋"/>
          <w:b/>
          <w:i/>
          <w:szCs w:val="21"/>
          <w:u w:val="single"/>
        </w:rPr>
        <w:t>合同专用条款</w:t>
      </w:r>
      <w:r>
        <w:rPr>
          <w:rFonts w:hint="eastAsia" w:ascii="仿宋" w:hAnsi="仿宋" w:eastAsia="仿宋" w:cs="仿宋"/>
          <w:szCs w:val="21"/>
        </w:rPr>
        <w:t>约定时间内，将有关部门出具的证明文件送达对方当事人。</w:t>
      </w:r>
    </w:p>
    <w:p>
      <w:pPr>
        <w:spacing w:line="360" w:lineRule="auto"/>
        <w:ind w:firstLine="422" w:firstLineChars="200"/>
        <w:outlineLvl w:val="0"/>
        <w:rPr>
          <w:rFonts w:hint="eastAsia" w:ascii="仿宋" w:hAnsi="仿宋" w:eastAsia="仿宋" w:cs="仿宋"/>
          <w:b/>
          <w:szCs w:val="21"/>
        </w:rPr>
      </w:pPr>
      <w:bookmarkStart w:id="341" w:name="_Toc23854"/>
      <w:bookmarkStart w:id="342" w:name="_Toc3638"/>
      <w:bookmarkStart w:id="343" w:name="_Toc30499113"/>
      <w:bookmarkStart w:id="344" w:name="_Toc259093684"/>
      <w:bookmarkStart w:id="345" w:name="_Toc25783"/>
      <w:bookmarkStart w:id="346" w:name="_Toc14115"/>
      <w:bookmarkStart w:id="347" w:name="_Toc279701255"/>
      <w:bookmarkStart w:id="348" w:name="_Toc487900365"/>
      <w:bookmarkStart w:id="349" w:name="_Toc24465"/>
      <w:r>
        <w:rPr>
          <w:rFonts w:hint="eastAsia" w:ascii="仿宋" w:hAnsi="仿宋" w:eastAsia="仿宋" w:cs="仿宋"/>
          <w:b/>
          <w:szCs w:val="21"/>
        </w:rPr>
        <w:t>2.12 税费</w:t>
      </w:r>
      <w:bookmarkEnd w:id="341"/>
      <w:bookmarkEnd w:id="342"/>
      <w:bookmarkEnd w:id="343"/>
      <w:bookmarkEnd w:id="344"/>
      <w:bookmarkEnd w:id="345"/>
      <w:bookmarkEnd w:id="346"/>
      <w:bookmarkEnd w:id="347"/>
      <w:bookmarkEnd w:id="348"/>
      <w:bookmarkEnd w:id="349"/>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与合同有关的一切税费，均按照中华人民共和国法律的相关规定缴纳。</w:t>
      </w:r>
    </w:p>
    <w:p>
      <w:pPr>
        <w:spacing w:line="360" w:lineRule="auto"/>
        <w:ind w:firstLine="422" w:firstLineChars="200"/>
        <w:outlineLvl w:val="0"/>
        <w:rPr>
          <w:rFonts w:hint="eastAsia" w:ascii="仿宋" w:hAnsi="仿宋" w:eastAsia="仿宋" w:cs="仿宋"/>
          <w:b/>
          <w:szCs w:val="21"/>
        </w:rPr>
      </w:pPr>
      <w:bookmarkStart w:id="350" w:name="_Toc14814"/>
      <w:bookmarkStart w:id="351" w:name="_Toc26883"/>
      <w:bookmarkStart w:id="352" w:name="_Toc30499114"/>
      <w:bookmarkStart w:id="353" w:name="_Toc279701258"/>
      <w:bookmarkStart w:id="354" w:name="_Toc487900368"/>
      <w:bookmarkStart w:id="355" w:name="_Toc30105"/>
      <w:bookmarkStart w:id="356" w:name="_Toc25525"/>
      <w:bookmarkStart w:id="357" w:name="_Toc7315"/>
      <w:bookmarkStart w:id="358" w:name="_Toc259093687"/>
      <w:r>
        <w:rPr>
          <w:rFonts w:hint="eastAsia" w:ascii="仿宋" w:hAnsi="仿宋" w:eastAsia="仿宋" w:cs="仿宋"/>
          <w:b/>
          <w:szCs w:val="21"/>
        </w:rPr>
        <w:t>2.13 乙方破产</w:t>
      </w:r>
      <w:bookmarkEnd w:id="350"/>
      <w:bookmarkEnd w:id="351"/>
      <w:bookmarkEnd w:id="352"/>
      <w:bookmarkEnd w:id="353"/>
      <w:bookmarkEnd w:id="354"/>
      <w:bookmarkEnd w:id="355"/>
      <w:bookmarkEnd w:id="356"/>
      <w:bookmarkEnd w:id="357"/>
      <w:bookmarkEnd w:id="358"/>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360" w:lineRule="auto"/>
        <w:ind w:firstLine="422" w:firstLineChars="200"/>
        <w:outlineLvl w:val="0"/>
        <w:rPr>
          <w:rFonts w:hint="eastAsia" w:ascii="仿宋" w:hAnsi="仿宋" w:eastAsia="仿宋" w:cs="仿宋"/>
          <w:b/>
          <w:szCs w:val="21"/>
        </w:rPr>
      </w:pPr>
      <w:bookmarkStart w:id="359" w:name="_Toc1123"/>
      <w:bookmarkStart w:id="360" w:name="_Toc2016"/>
      <w:bookmarkStart w:id="361" w:name="_Toc30499115"/>
      <w:bookmarkStart w:id="362" w:name="_Toc23323"/>
      <w:r>
        <w:rPr>
          <w:rFonts w:hint="eastAsia" w:ascii="仿宋" w:hAnsi="仿宋" w:eastAsia="仿宋" w:cs="仿宋"/>
          <w:b/>
          <w:szCs w:val="21"/>
        </w:rPr>
        <w:t>2.14 合同中止、终止</w:t>
      </w:r>
      <w:bookmarkEnd w:id="359"/>
      <w:bookmarkEnd w:id="360"/>
      <w:bookmarkEnd w:id="361"/>
      <w:bookmarkEnd w:id="362"/>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2.14.1 双方当事人不得擅自中止或者终止合同；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2.14.2合同继续履行将损害国家利益和社会公共利益的，双方当事人应当中止或者终止合同。有过错的一方应当承担赔偿责任，双方当事人都有过错的，各自承担相应的责任。</w:t>
      </w:r>
    </w:p>
    <w:p>
      <w:pPr>
        <w:spacing w:line="360" w:lineRule="auto"/>
        <w:ind w:firstLine="422" w:firstLineChars="200"/>
        <w:outlineLvl w:val="0"/>
        <w:rPr>
          <w:rFonts w:hint="eastAsia" w:ascii="仿宋" w:hAnsi="仿宋" w:eastAsia="仿宋" w:cs="仿宋"/>
          <w:b/>
          <w:szCs w:val="21"/>
        </w:rPr>
      </w:pPr>
      <w:bookmarkStart w:id="363" w:name="_Toc30499116"/>
      <w:bookmarkStart w:id="364" w:name="_Toc17363"/>
      <w:bookmarkStart w:id="365" w:name="_Toc1969"/>
      <w:bookmarkStart w:id="366" w:name="_Toc14525"/>
      <w:r>
        <w:rPr>
          <w:rFonts w:hint="eastAsia" w:ascii="仿宋" w:hAnsi="仿宋" w:eastAsia="仿宋" w:cs="仿宋"/>
          <w:b/>
          <w:szCs w:val="21"/>
        </w:rPr>
        <w:t>2.15 检验和验收</w:t>
      </w:r>
      <w:bookmarkEnd w:id="363"/>
      <w:bookmarkEnd w:id="364"/>
      <w:bookmarkEnd w:id="365"/>
      <w:bookmarkEnd w:id="366"/>
    </w:p>
    <w:p>
      <w:pPr>
        <w:tabs>
          <w:tab w:val="left" w:pos="360"/>
          <w:tab w:val="left" w:pos="540"/>
          <w:tab w:val="left" w:pos="1080"/>
        </w:tabs>
        <w:spacing w:line="360" w:lineRule="auto"/>
        <w:ind w:firstLine="420" w:firstLineChars="200"/>
        <w:rPr>
          <w:rFonts w:hint="eastAsia" w:ascii="仿宋" w:hAnsi="仿宋" w:eastAsia="仿宋" w:cs="仿宋"/>
          <w:szCs w:val="21"/>
        </w:rPr>
      </w:pPr>
      <w:r>
        <w:rPr>
          <w:rFonts w:hint="eastAsia" w:ascii="仿宋" w:hAnsi="仿宋" w:eastAsia="仿宋" w:cs="仿宋"/>
          <w:szCs w:val="21"/>
        </w:rPr>
        <w:t>2.15.1 乙方按照</w:t>
      </w:r>
      <w:r>
        <w:rPr>
          <w:rFonts w:hint="eastAsia" w:ascii="仿宋" w:hAnsi="仿宋" w:eastAsia="仿宋" w:cs="仿宋"/>
          <w:b/>
          <w:i/>
          <w:szCs w:val="21"/>
          <w:u w:val="single"/>
        </w:rPr>
        <w:t>合同专用条款</w:t>
      </w:r>
      <w:r>
        <w:rPr>
          <w:rFonts w:hint="eastAsia" w:ascii="仿宋" w:hAnsi="仿宋" w:eastAsia="仿宋" w:cs="仿宋"/>
          <w:szCs w:val="21"/>
        </w:rPr>
        <w:t>的约定，定期提交服务报告，甲方按照</w:t>
      </w:r>
      <w:r>
        <w:rPr>
          <w:rFonts w:hint="eastAsia" w:ascii="仿宋" w:hAnsi="仿宋" w:eastAsia="仿宋" w:cs="仿宋"/>
          <w:b/>
          <w:i/>
          <w:szCs w:val="21"/>
          <w:u w:val="single"/>
        </w:rPr>
        <w:t>合同专用条款</w:t>
      </w:r>
      <w:r>
        <w:rPr>
          <w:rFonts w:hint="eastAsia" w:ascii="仿宋" w:hAnsi="仿宋" w:eastAsia="仿宋" w:cs="仿宋"/>
          <w:szCs w:val="21"/>
        </w:rPr>
        <w:t>的约定进行定期验收；</w:t>
      </w:r>
    </w:p>
    <w:p>
      <w:pPr>
        <w:tabs>
          <w:tab w:val="left" w:pos="360"/>
          <w:tab w:val="left" w:pos="540"/>
          <w:tab w:val="left" w:pos="1080"/>
        </w:tabs>
        <w:spacing w:line="360" w:lineRule="auto"/>
        <w:ind w:firstLine="420" w:firstLineChars="200"/>
        <w:rPr>
          <w:rFonts w:hint="eastAsia" w:ascii="仿宋" w:hAnsi="仿宋" w:eastAsia="仿宋" w:cs="仿宋"/>
          <w:szCs w:val="21"/>
        </w:rPr>
      </w:pPr>
      <w:r>
        <w:rPr>
          <w:rFonts w:hint="eastAsia" w:ascii="仿宋" w:hAnsi="仿宋" w:eastAsia="仿宋" w:cs="仿宋"/>
          <w:szCs w:val="21"/>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360" w:lineRule="auto"/>
        <w:ind w:firstLine="420" w:firstLineChars="200"/>
        <w:rPr>
          <w:rFonts w:hint="eastAsia" w:ascii="仿宋" w:hAnsi="仿宋" w:eastAsia="仿宋" w:cs="仿宋"/>
          <w:szCs w:val="21"/>
        </w:rPr>
      </w:pPr>
      <w:r>
        <w:rPr>
          <w:rFonts w:hint="eastAsia" w:ascii="仿宋" w:hAnsi="仿宋" w:eastAsia="仿宋" w:cs="仿宋"/>
          <w:szCs w:val="21"/>
        </w:rPr>
        <w:t>2.15.3 检验和验收标准、程序等具体内容以及前述验收书的效力详见</w:t>
      </w:r>
      <w:r>
        <w:rPr>
          <w:rFonts w:hint="eastAsia" w:ascii="仿宋" w:hAnsi="仿宋" w:eastAsia="仿宋" w:cs="仿宋"/>
          <w:b/>
          <w:i/>
          <w:szCs w:val="21"/>
          <w:u w:val="single"/>
        </w:rPr>
        <w:t>合同专用条款</w:t>
      </w:r>
      <w:r>
        <w:rPr>
          <w:rFonts w:hint="eastAsia" w:ascii="仿宋" w:hAnsi="仿宋" w:eastAsia="仿宋" w:cs="仿宋"/>
          <w:i/>
          <w:szCs w:val="21"/>
        </w:rPr>
        <w:t>。</w:t>
      </w:r>
    </w:p>
    <w:bookmarkEnd w:id="322"/>
    <w:bookmarkEnd w:id="323"/>
    <w:bookmarkEnd w:id="324"/>
    <w:bookmarkEnd w:id="325"/>
    <w:p>
      <w:pPr>
        <w:spacing w:line="360" w:lineRule="auto"/>
        <w:ind w:firstLine="422" w:firstLineChars="200"/>
        <w:outlineLvl w:val="0"/>
        <w:rPr>
          <w:rFonts w:hint="eastAsia" w:ascii="仿宋" w:hAnsi="仿宋" w:eastAsia="仿宋" w:cs="仿宋"/>
          <w:b/>
          <w:szCs w:val="21"/>
        </w:rPr>
      </w:pPr>
      <w:bookmarkStart w:id="367" w:name="_Toc279701261"/>
      <w:bookmarkStart w:id="368" w:name="_Toc259093690"/>
      <w:bookmarkStart w:id="369" w:name="_Toc487900371"/>
      <w:bookmarkStart w:id="370" w:name="_Toc30499117"/>
      <w:bookmarkStart w:id="371" w:name="_Toc31892"/>
      <w:bookmarkStart w:id="372" w:name="_Toc9808"/>
      <w:bookmarkStart w:id="373" w:name="_Toc12666"/>
      <w:bookmarkStart w:id="374" w:name="_Toc2308"/>
      <w:bookmarkStart w:id="375" w:name="_Toc25198"/>
      <w:r>
        <w:rPr>
          <w:rFonts w:hint="eastAsia" w:ascii="仿宋" w:hAnsi="仿宋" w:eastAsia="仿宋" w:cs="仿宋"/>
          <w:b/>
          <w:szCs w:val="21"/>
        </w:rPr>
        <w:t>2.16 通知</w:t>
      </w:r>
      <w:bookmarkEnd w:id="367"/>
      <w:bookmarkEnd w:id="368"/>
      <w:bookmarkEnd w:id="369"/>
      <w:r>
        <w:rPr>
          <w:rFonts w:hint="eastAsia" w:ascii="仿宋" w:hAnsi="仿宋" w:eastAsia="仿宋" w:cs="仿宋"/>
          <w:b/>
          <w:szCs w:val="21"/>
        </w:rPr>
        <w:t>和送达</w:t>
      </w:r>
      <w:bookmarkEnd w:id="370"/>
      <w:bookmarkEnd w:id="371"/>
      <w:bookmarkEnd w:id="372"/>
      <w:bookmarkEnd w:id="373"/>
      <w:bookmarkEnd w:id="374"/>
      <w:bookmarkEnd w:id="375"/>
    </w:p>
    <w:p>
      <w:pPr>
        <w:spacing w:line="360" w:lineRule="auto"/>
        <w:ind w:firstLine="420" w:firstLineChars="200"/>
        <w:rPr>
          <w:rFonts w:hint="eastAsia" w:ascii="仿宋" w:hAnsi="仿宋" w:eastAsia="仿宋" w:cs="仿宋"/>
          <w:szCs w:val="21"/>
        </w:rPr>
      </w:pPr>
      <w:bookmarkStart w:id="376" w:name="_Toc7073"/>
      <w:bookmarkStart w:id="377" w:name="_Toc29220"/>
      <w:bookmarkStart w:id="378" w:name="_Toc259093691"/>
      <w:bookmarkStart w:id="379" w:name="_Toc279701262"/>
      <w:bookmarkStart w:id="380" w:name="_Toc487900372"/>
      <w:r>
        <w:rPr>
          <w:rFonts w:hint="eastAsia" w:ascii="仿宋" w:hAnsi="仿宋" w:eastAsia="仿宋" w:cs="仿宋"/>
          <w:szCs w:val="21"/>
        </w:rPr>
        <w:t>2.16.1 任何一方因履行合同而以合同第一部分尾部所列明的</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发出的所有通知、文件、材料，均视为已向对方当事人送达；任何一方变更上述送达方式或者地址的，应于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个工作日内书面通知对方当事人，在对方当事人收到有关变更通知之前，变更前的约定送达方式或者地址仍视为有效。</w:t>
      </w:r>
      <w:bookmarkEnd w:id="376"/>
      <w:bookmarkEnd w:id="377"/>
    </w:p>
    <w:p>
      <w:pPr>
        <w:spacing w:line="360" w:lineRule="auto"/>
        <w:ind w:firstLine="420" w:firstLineChars="200"/>
        <w:rPr>
          <w:rFonts w:hint="eastAsia" w:ascii="仿宋" w:hAnsi="仿宋" w:eastAsia="仿宋" w:cs="仿宋"/>
          <w:szCs w:val="21"/>
        </w:rPr>
      </w:pPr>
      <w:bookmarkStart w:id="381" w:name="_Toc18401"/>
      <w:bookmarkStart w:id="382" w:name="_Toc27674"/>
      <w:r>
        <w:rPr>
          <w:rFonts w:hint="eastAsia" w:ascii="仿宋" w:hAnsi="仿宋" w:eastAsia="仿宋" w:cs="仿宋"/>
          <w:szCs w:val="21"/>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381"/>
      <w:bookmarkEnd w:id="382"/>
    </w:p>
    <w:bookmarkEnd w:id="378"/>
    <w:bookmarkEnd w:id="379"/>
    <w:bookmarkEnd w:id="380"/>
    <w:p>
      <w:pPr>
        <w:spacing w:line="360" w:lineRule="auto"/>
        <w:ind w:firstLine="422" w:firstLineChars="200"/>
        <w:outlineLvl w:val="0"/>
        <w:rPr>
          <w:rFonts w:hint="eastAsia" w:ascii="仿宋" w:hAnsi="仿宋" w:eastAsia="仿宋" w:cs="仿宋"/>
          <w:b/>
          <w:szCs w:val="21"/>
        </w:rPr>
      </w:pPr>
      <w:bookmarkStart w:id="383" w:name="_Toc5063"/>
      <w:bookmarkStart w:id="384" w:name="_Toc279701263"/>
      <w:bookmarkStart w:id="385" w:name="_Toc30499118"/>
      <w:bookmarkStart w:id="386" w:name="_Toc259093692"/>
      <w:bookmarkStart w:id="387" w:name="_Toc20808"/>
      <w:bookmarkStart w:id="388" w:name="_Toc487900373"/>
      <w:bookmarkStart w:id="389" w:name="_Toc27644"/>
      <w:bookmarkStart w:id="390" w:name="_Toc12254"/>
      <w:bookmarkStart w:id="391" w:name="_Toc28906"/>
      <w:r>
        <w:rPr>
          <w:rFonts w:hint="eastAsia" w:ascii="仿宋" w:hAnsi="仿宋" w:eastAsia="仿宋" w:cs="仿宋"/>
          <w:b/>
          <w:szCs w:val="21"/>
        </w:rPr>
        <w:t>2.17 合同使用的文字和适用的法律</w:t>
      </w:r>
      <w:bookmarkEnd w:id="383"/>
      <w:bookmarkEnd w:id="384"/>
      <w:bookmarkEnd w:id="385"/>
      <w:bookmarkEnd w:id="386"/>
      <w:bookmarkEnd w:id="387"/>
      <w:bookmarkEnd w:id="388"/>
      <w:bookmarkEnd w:id="389"/>
      <w:bookmarkEnd w:id="390"/>
      <w:bookmarkEnd w:id="39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2.17.1 合同使用汉语书就、变更和解释；</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2.17.2 合同适用中华人民共和国法律。</w:t>
      </w:r>
    </w:p>
    <w:p>
      <w:pPr>
        <w:spacing w:line="360" w:lineRule="auto"/>
        <w:ind w:firstLine="422" w:firstLineChars="200"/>
        <w:outlineLvl w:val="0"/>
        <w:rPr>
          <w:rFonts w:hint="eastAsia" w:ascii="仿宋" w:hAnsi="仿宋" w:eastAsia="仿宋" w:cs="仿宋"/>
          <w:b/>
          <w:szCs w:val="21"/>
        </w:rPr>
      </w:pPr>
      <w:bookmarkStart w:id="392" w:name="_Toc30499119"/>
      <w:bookmarkStart w:id="393" w:name="_Toc30096"/>
      <w:bookmarkStart w:id="394" w:name="_Toc22266"/>
      <w:bookmarkStart w:id="395" w:name="_Toc259093693"/>
      <w:bookmarkStart w:id="396" w:name="_Toc27403"/>
      <w:bookmarkStart w:id="397" w:name="_Toc27127"/>
      <w:bookmarkStart w:id="398" w:name="_Toc279701264"/>
      <w:bookmarkStart w:id="399" w:name="_Toc1492"/>
      <w:bookmarkStart w:id="400" w:name="_Toc487900374"/>
      <w:r>
        <w:rPr>
          <w:rFonts w:hint="eastAsia" w:ascii="仿宋" w:hAnsi="仿宋" w:eastAsia="仿宋" w:cs="仿宋"/>
          <w:b/>
          <w:szCs w:val="21"/>
        </w:rPr>
        <w:t>2.18 履约保证金</w:t>
      </w:r>
      <w:bookmarkEnd w:id="392"/>
      <w:bookmarkEnd w:id="393"/>
      <w:bookmarkEnd w:id="394"/>
      <w:bookmarkEnd w:id="395"/>
      <w:bookmarkEnd w:id="396"/>
      <w:bookmarkEnd w:id="397"/>
      <w:bookmarkEnd w:id="398"/>
      <w:bookmarkEnd w:id="399"/>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2.18.1 采购文件要求乙方提交履约保证金的，乙方应按</w:t>
      </w:r>
      <w:r>
        <w:rPr>
          <w:rFonts w:hint="eastAsia" w:ascii="仿宋" w:hAnsi="仿宋" w:eastAsia="仿宋" w:cs="仿宋"/>
          <w:b/>
          <w:i/>
          <w:szCs w:val="21"/>
          <w:u w:val="single"/>
        </w:rPr>
        <w:t>合同专用条款</w:t>
      </w:r>
      <w:r>
        <w:rPr>
          <w:rFonts w:hint="eastAsia" w:ascii="仿宋" w:hAnsi="仿宋" w:eastAsia="仿宋" w:cs="仿宋"/>
          <w:szCs w:val="21"/>
        </w:rPr>
        <w:t>约定的方式，以支票、汇票、本票或者金融机构、担保机构出具的保函等非现金形式，提交不超过合同价10%的履约保证金,本项目无履约保证金；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2.18.2 履约保证金在</w:t>
      </w:r>
      <w:r>
        <w:rPr>
          <w:rFonts w:hint="eastAsia" w:ascii="仿宋" w:hAnsi="仿宋" w:eastAsia="仿宋" w:cs="仿宋"/>
          <w:b/>
          <w:i/>
          <w:szCs w:val="21"/>
          <w:u w:val="single"/>
        </w:rPr>
        <w:t>合同专用条款</w:t>
      </w:r>
      <w:r>
        <w:rPr>
          <w:rFonts w:hint="eastAsia" w:ascii="仿宋" w:hAnsi="仿宋" w:eastAsia="仿宋" w:cs="仿宋"/>
          <w:szCs w:val="21"/>
        </w:rPr>
        <w:t>约定期间内不予退还或者应完全有效，前述约定期间届满之日起</w:t>
      </w:r>
      <w:r>
        <w:rPr>
          <w:rFonts w:hint="eastAsia" w:ascii="仿宋" w:hAnsi="仿宋" w:eastAsia="仿宋" w:cs="仿宋"/>
          <w:szCs w:val="21"/>
          <w:u w:val="single"/>
        </w:rPr>
        <w:t xml:space="preserve">    </w:t>
      </w:r>
      <w:r>
        <w:rPr>
          <w:rFonts w:hint="eastAsia" w:ascii="仿宋" w:hAnsi="仿宋" w:eastAsia="仿宋" w:cs="仿宋"/>
          <w:szCs w:val="21"/>
        </w:rPr>
        <w:t>个工作日内，甲方应将履约保证金退还乙方；</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2.18.3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400"/>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2.19 合同份数</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合同份数按</w:t>
      </w:r>
      <w:r>
        <w:rPr>
          <w:rFonts w:hint="eastAsia" w:ascii="仿宋" w:hAnsi="仿宋" w:eastAsia="仿宋" w:cs="仿宋"/>
          <w:b/>
          <w:i/>
          <w:szCs w:val="21"/>
          <w:u w:val="single"/>
        </w:rPr>
        <w:t>合同专用条款</w:t>
      </w:r>
      <w:r>
        <w:rPr>
          <w:rFonts w:hint="eastAsia" w:ascii="仿宋" w:hAnsi="仿宋" w:eastAsia="仿宋" w:cs="仿宋"/>
          <w:szCs w:val="21"/>
        </w:rPr>
        <w:t>规定，每份均具有同等法律效力。</w:t>
      </w:r>
      <w:bookmarkStart w:id="401" w:name="_Toc331685784"/>
    </w:p>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第三部分  合同专用条款</w:t>
      </w:r>
      <w:bookmarkEnd w:id="40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b/>
                <w:szCs w:val="21"/>
              </w:rPr>
            </w:pPr>
            <w:r>
              <w:rPr>
                <w:rFonts w:hint="eastAsia" w:ascii="仿宋" w:hAnsi="仿宋" w:eastAsia="仿宋" w:cs="仿宋"/>
                <w:b/>
                <w:szCs w:val="21"/>
              </w:rPr>
              <w:t>条款号</w:t>
            </w:r>
          </w:p>
        </w:tc>
        <w:tc>
          <w:tcPr>
            <w:tcW w:w="7633" w:type="dxa"/>
            <w:noWrap w:val="0"/>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b/>
                <w:szCs w:val="21"/>
              </w:rPr>
            </w:pPr>
            <w:r>
              <w:rPr>
                <w:rFonts w:hint="eastAsia" w:ascii="仿宋" w:hAnsi="仿宋" w:eastAsia="仿宋" w:cs="仿宋"/>
                <w:b/>
                <w:szCs w:val="21"/>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top w:val="single" w:color="auto" w:sz="6" w:space="0"/>
              <w:left w:val="single" w:color="auto" w:sz="4"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top w:val="single" w:color="auto" w:sz="6" w:space="0"/>
              <w:left w:val="single" w:color="auto" w:sz="4"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Cs w:val="21"/>
              </w:rPr>
            </w:pPr>
          </w:p>
        </w:tc>
      </w:tr>
    </w:tbl>
    <w:p>
      <w:pPr>
        <w:pStyle w:val="62"/>
        <w:spacing w:line="360" w:lineRule="auto"/>
        <w:ind w:firstLine="480"/>
        <w:rPr>
          <w:rFonts w:hint="eastAsia" w:ascii="仿宋" w:hAnsi="仿宋" w:eastAsia="仿宋" w:cs="仿宋"/>
        </w:rPr>
      </w:pPr>
    </w:p>
    <w:p>
      <w:pPr>
        <w:spacing w:line="360" w:lineRule="auto"/>
        <w:rPr>
          <w:rFonts w:hint="eastAsia" w:ascii="仿宋" w:hAnsi="仿宋" w:eastAsia="仿宋" w:cs="仿宋"/>
          <w:kern w:val="0"/>
          <w:sz w:val="24"/>
          <w:szCs w:val="24"/>
        </w:rPr>
      </w:pPr>
    </w:p>
    <w:sectPr>
      <w:headerReference r:id="rId20" w:type="default"/>
      <w:footerReference r:id="rId21" w:type="default"/>
      <w:pgSz w:w="11907" w:h="16840"/>
      <w:pgMar w:top="1474" w:right="1814" w:bottom="1474" w:left="1814" w:header="851" w:footer="851" w:gutter="0"/>
      <w:pgBorders>
        <w:top w:val="none" w:sz="0" w:space="0"/>
        <w:left w:val="none" w:sz="0" w:space="0"/>
        <w:bottom w:val="none" w:sz="0" w:space="0"/>
        <w:right w:val="none" w:sz="0" w:space="0"/>
      </w:pgBorders>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CBF26EAF-2D34-405D-A533-55C4B00B215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lbertus Medium">
    <w:altName w:val="Segoe Print"/>
    <w:panose1 w:val="020E06020303040203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Monotype Corsiva">
    <w:altName w:val="Mongolian Baiti"/>
    <w:panose1 w:val="03010101010201010101"/>
    <w:charset w:val="00"/>
    <w:family w:val="script"/>
    <w:pitch w:val="default"/>
    <w:sig w:usb0="00000000"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embedRegular r:id="rId2" w:fontKey="{9905FA23-13E3-4213-90B4-2D6734908CA4}"/>
  </w:font>
  <w:font w:name="Segoe Print">
    <w:panose1 w:val="02000600000000000000"/>
    <w:charset w:val="00"/>
    <w:family w:val="auto"/>
    <w:pitch w:val="default"/>
    <w:sig w:usb0="0000028F" w:usb1="00000000" w:usb2="00000000" w:usb3="00000000" w:csb0="2000009F" w:csb1="47010000"/>
  </w:font>
  <w:font w:name="Mongolian Baiti">
    <w:panose1 w:val="03000500000000000000"/>
    <w:charset w:val="00"/>
    <w:family w:val="auto"/>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right" w:y="4"/>
      <w:rPr>
        <w:rStyle w:val="47"/>
      </w:rPr>
    </w:pPr>
  </w:p>
  <w:p>
    <w:pPr>
      <w:pStyle w:val="29"/>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17780</wp:posOffset>
              </wp:positionV>
              <wp:extent cx="216535" cy="144145"/>
              <wp:effectExtent l="0" t="0" r="0" b="0"/>
              <wp:wrapNone/>
              <wp:docPr id="12" name="文本框 4"/>
              <wp:cNvGraphicFramePr/>
              <a:graphic xmlns:a="http://schemas.openxmlformats.org/drawingml/2006/main">
                <a:graphicData uri="http://schemas.microsoft.com/office/word/2010/wordprocessingShape">
                  <wps:wsp>
                    <wps:cNvSpPr txBox="1"/>
                    <wps:spPr>
                      <a:xfrm>
                        <a:off x="0" y="0"/>
                        <a:ext cx="216535" cy="144145"/>
                      </a:xfrm>
                      <a:prstGeom prst="rect">
                        <a:avLst/>
                      </a:prstGeom>
                      <a:noFill/>
                      <a:ln w="15875">
                        <a:noFill/>
                      </a:ln>
                    </wps:spPr>
                    <wps:txbx>
                      <w:txbxContent>
                        <w:p>
                          <w:pPr>
                            <w:pStyle w:val="29"/>
                            <w:jc w:val="both"/>
                            <w:rPr>
                              <w:rStyle w:val="47"/>
                            </w:rPr>
                          </w:pPr>
                          <w:r>
                            <w:fldChar w:fldCharType="begin"/>
                          </w:r>
                          <w:r>
                            <w:rPr>
                              <w:rStyle w:val="47"/>
                            </w:rPr>
                            <w:instrText xml:space="preserve">PAGE  </w:instrText>
                          </w:r>
                          <w:r>
                            <w:fldChar w:fldCharType="separate"/>
                          </w:r>
                          <w:r>
                            <w:rPr>
                              <w:rStyle w:val="47"/>
                            </w:rPr>
                            <w:t>3</w:t>
                          </w:r>
                          <w:r>
                            <w:fldChar w:fldCharType="end"/>
                          </w:r>
                        </w:p>
                      </w:txbxContent>
                    </wps:txbx>
                    <wps:bodyPr wrap="square" lIns="0" tIns="0" rIns="0" bIns="0" upright="0"/>
                  </wps:wsp>
                </a:graphicData>
              </a:graphic>
            </wp:anchor>
          </w:drawing>
        </mc:Choice>
        <mc:Fallback>
          <w:pict>
            <v:shape id="文本框 4" o:spid="_x0000_s1026" o:spt="202" type="#_x0000_t202" style="position:absolute;left:0pt;margin-top:1.4pt;height:11.35pt;width:17.05pt;mso-position-horizontal:center;mso-position-horizontal-relative:margin;z-index:251659264;mso-width-relative:page;mso-height-relative:page;" filled="f" stroked="f" coordsize="21600,21600" o:gfxdata="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66gxdMAAAAEAQAADwAAAAAAAAABACAAAAAiAAAAZHJzL2Rv&#10;d25yZXYueG1sUEsBAhQAFAAAAAgAh07iQFHRCxDNAQAAigMAAA4AAAAAAAAAAQAgAAAAIgEAAGRy&#10;cy9lMm9Eb2MueG1sUEsFBgAAAAAGAAYAWQEAAGEFAAAAAA==&#10;">
              <v:fill on="f" focussize="0,0"/>
              <v:stroke on="f" weight="1.25pt"/>
              <v:imagedata o:title=""/>
              <o:lock v:ext="edit" aspectratio="f"/>
              <v:textbox inset="0mm,0mm,0mm,0mm">
                <w:txbxContent>
                  <w:p>
                    <w:pPr>
                      <w:pStyle w:val="29"/>
                      <w:jc w:val="both"/>
                      <w:rPr>
                        <w:rStyle w:val="47"/>
                      </w:rPr>
                    </w:pPr>
                    <w:r>
                      <w:fldChar w:fldCharType="begin"/>
                    </w:r>
                    <w:r>
                      <w:rPr>
                        <w:rStyle w:val="47"/>
                      </w:rPr>
                      <w:instrText xml:space="preserve">PAGE  </w:instrText>
                    </w:r>
                    <w:r>
                      <w:fldChar w:fldCharType="separate"/>
                    </w:r>
                    <w:r>
                      <w:rPr>
                        <w:rStyle w:val="47"/>
                      </w:rPr>
                      <w:t>3</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17780</wp:posOffset>
              </wp:positionV>
              <wp:extent cx="1828800" cy="1828800"/>
              <wp:effectExtent l="0" t="0" r="0" b="0"/>
              <wp:wrapNone/>
              <wp:docPr id="5"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jc w:val="center"/>
                          </w:pPr>
                          <w:r>
                            <w:fldChar w:fldCharType="begin"/>
                          </w:r>
                          <w:r>
                            <w:instrText xml:space="preserve">PAGE   \* MERGEFORMAT</w:instrText>
                          </w:r>
                          <w:r>
                            <w:fldChar w:fldCharType="separate"/>
                          </w:r>
                          <w:r>
                            <w:rPr>
                              <w:lang w:val="zh-CN"/>
                            </w:rPr>
                            <w:t>55</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1.4pt;height:144pt;width:144pt;mso-position-horizontal:center;mso-position-horizontal-relative:margin;mso-wrap-style:none;z-index:251662336;mso-width-relative:page;mso-height-relative:page;" filled="f" stroked="f" coordsize="21600,21600" o:gfxdata="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cbohLVAAAABgEAAA8AAAAAAAAAAQAgAAAAIgAA&#10;AGRycy9kb3ducmV2LnhtbFBLAQIUABQAAAAIAIdO4kB2X3F/0gEAAKQDAAAOAAAAAAAAAAEAIAAA&#10;ACQBAABkcnMvZTJvRG9jLnhtbFBLBQYAAAAABgAGAFkBAABoBQAAAAA=&#10;">
              <v:fill on="f" focussize="0,0"/>
              <v:stroke on="f" weight="1.25pt"/>
              <v:imagedata o:title=""/>
              <o:lock v:ext="edit" aspectratio="f"/>
              <v:textbox inset="0mm,0mm,0mm,0mm" style="mso-fit-shape-to-text:t;">
                <w:txbxContent>
                  <w:p>
                    <w:pPr>
                      <w:pStyle w:val="29"/>
                      <w:jc w:val="center"/>
                    </w:pPr>
                    <w:r>
                      <w:fldChar w:fldCharType="begin"/>
                    </w:r>
                    <w:r>
                      <w:instrText xml:space="preserve">PAGE   \* MERGEFORMAT</w:instrText>
                    </w:r>
                    <w:r>
                      <w:fldChar w:fldCharType="separate"/>
                    </w:r>
                    <w:r>
                      <w:rPr>
                        <w:lang w:val="zh-CN"/>
                      </w:rPr>
                      <w:t>55</w:t>
                    </w:r>
                    <w:r>
                      <w:fldChar w:fldCharType="end"/>
                    </w:r>
                  </w:p>
                </w:txbxContent>
              </v:textbox>
            </v:shape>
          </w:pict>
        </mc:Fallback>
      </mc:AlternateContent>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4"/>
      <w:rPr>
        <w:rStyle w:val="47"/>
      </w:rPr>
    </w:pPr>
    <w:r>
      <w:fldChar w:fldCharType="begin"/>
    </w:r>
    <w:r>
      <w:rPr>
        <w:rStyle w:val="47"/>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10" name="文本框 5"/>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wOFPHUAAAAAgEAAA8AAAAAAAAAAQAgAAAA&#10;IgAAAGRycy9kb3ducmV2LnhtbFBLAQIUABQAAAAIAIdO4kAbkHms1gEAAKEDAAAOAAAAAAAAAAEA&#10;IAAAACMBAABkcnMvZTJvRG9jLnhtbFBLBQYAAAAABgAGAFkBAABrBQ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right" w:y="4"/>
      <w:rPr>
        <w:rStyle w:val="47"/>
      </w:rPr>
    </w:pPr>
  </w:p>
  <w:p>
    <w:pPr>
      <w:pStyle w:val="29"/>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17780</wp:posOffset>
              </wp:positionV>
              <wp:extent cx="216535" cy="144145"/>
              <wp:effectExtent l="0" t="0" r="0" b="0"/>
              <wp:wrapNone/>
              <wp:docPr id="1" name="文本框 4"/>
              <wp:cNvGraphicFramePr/>
              <a:graphic xmlns:a="http://schemas.openxmlformats.org/drawingml/2006/main">
                <a:graphicData uri="http://schemas.microsoft.com/office/word/2010/wordprocessingShape">
                  <wps:wsp>
                    <wps:cNvSpPr txBox="1"/>
                    <wps:spPr>
                      <a:xfrm>
                        <a:off x="0" y="0"/>
                        <a:ext cx="216535" cy="144145"/>
                      </a:xfrm>
                      <a:prstGeom prst="rect">
                        <a:avLst/>
                      </a:prstGeom>
                      <a:noFill/>
                      <a:ln w="15875">
                        <a:noFill/>
                      </a:ln>
                    </wps:spPr>
                    <wps:txbx>
                      <w:txbxContent>
                        <w:p>
                          <w:pPr>
                            <w:pStyle w:val="29"/>
                            <w:jc w:val="both"/>
                            <w:rPr>
                              <w:rStyle w:val="47"/>
                            </w:rPr>
                          </w:pPr>
                          <w:r>
                            <w:fldChar w:fldCharType="begin"/>
                          </w:r>
                          <w:r>
                            <w:rPr>
                              <w:rStyle w:val="47"/>
                            </w:rPr>
                            <w:instrText xml:space="preserve">PAGE  </w:instrText>
                          </w:r>
                          <w:r>
                            <w:fldChar w:fldCharType="separate"/>
                          </w:r>
                          <w:r>
                            <w:rPr>
                              <w:rStyle w:val="47"/>
                            </w:rPr>
                            <w:t>3</w:t>
                          </w:r>
                          <w:r>
                            <w:fldChar w:fldCharType="end"/>
                          </w:r>
                        </w:p>
                      </w:txbxContent>
                    </wps:txbx>
                    <wps:bodyPr wrap="square" lIns="0" tIns="0" rIns="0" bIns="0" upright="0"/>
                  </wps:wsp>
                </a:graphicData>
              </a:graphic>
            </wp:anchor>
          </w:drawing>
        </mc:Choice>
        <mc:Fallback>
          <w:pict>
            <v:shape id="文本框 4" o:spid="_x0000_s1026" o:spt="202" type="#_x0000_t202" style="position:absolute;left:0pt;margin-top:1.4pt;height:11.35pt;width:17.05pt;mso-position-horizontal:center;mso-position-horizontal-relative:margin;z-index:251659264;mso-width-relative:page;mso-height-relative:page;" filled="f" stroked="f" coordsize="21600,21600" o:gfxdata="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66gxdMAAAAEAQAADwAAAAAAAAABACAAAAAiAAAAZHJzL2Rv&#10;d25yZXYueG1sUEsBAhQAFAAAAAgAh07iQCf03G7NAQAAiQMAAA4AAAAAAAAAAQAgAAAAIgEAAGRy&#10;cy9lMm9Eb2MueG1sUEsFBgAAAAAGAAYAWQEAAGEFAAAAAA==&#10;">
              <v:fill on="f" focussize="0,0"/>
              <v:stroke on="f" weight="1.25pt"/>
              <v:imagedata o:title=""/>
              <o:lock v:ext="edit" aspectratio="f"/>
              <v:textbox inset="0mm,0mm,0mm,0mm">
                <w:txbxContent>
                  <w:p>
                    <w:pPr>
                      <w:pStyle w:val="29"/>
                      <w:jc w:val="both"/>
                      <w:rPr>
                        <w:rStyle w:val="47"/>
                      </w:rPr>
                    </w:pPr>
                    <w:r>
                      <w:fldChar w:fldCharType="begin"/>
                    </w:r>
                    <w:r>
                      <w:rPr>
                        <w:rStyle w:val="47"/>
                      </w:rPr>
                      <w:instrText xml:space="preserve">PAGE  </w:instrText>
                    </w:r>
                    <w:r>
                      <w:fldChar w:fldCharType="separate"/>
                    </w:r>
                    <w:r>
                      <w:rPr>
                        <w:rStyle w:val="47"/>
                      </w:rP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 5"/>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wOFPHUAAAAAgEAAA8AAAAAAAAAAQAgAAAA&#10;IgAAAGRycy9kb3ducmV2LnhtbFBLAQIUABQAAAAIAIdO4kBTdxLC1gEAAKADAAAOAAAAAAAAAAEA&#10;IAAAACMBAABkcnMvZTJvRG9jLnhtbFBLBQYAAAAABgAGAFkBAABrBQ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rPr>
        <w:rStyle w:val="47"/>
      </w:rPr>
      <w:instrText xml:space="preserve">PAGE  </w:instrText>
    </w:r>
    <w:r>
      <w:fldChar w:fldCharType="separate"/>
    </w:r>
    <w:r>
      <w:rPr>
        <w:rStyle w:val="47"/>
      </w:rPr>
      <w:t>35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7"/>
      </w:rPr>
    </w:pPr>
    <w:r>
      <w:fldChar w:fldCharType="begin"/>
    </w:r>
    <w:r>
      <w:rPr>
        <w:rStyle w:val="47"/>
      </w:rPr>
      <w:instrText xml:space="preserve">PAGE  </w:instrText>
    </w:r>
    <w:r>
      <w:fldChar w:fldCharType="end"/>
    </w:r>
  </w:p>
  <w:p>
    <w:pPr>
      <w:pStyle w:val="29"/>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6"/>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pStyle w:val="29"/>
                          </w:pPr>
                          <w:r>
                            <w:t xml:space="preserve"> </w:t>
                          </w:r>
                          <w:r>
                            <w:fldChar w:fldCharType="begin"/>
                          </w:r>
                          <w:r>
                            <w:rPr>
                              <w:rStyle w:val="47"/>
                            </w:rPr>
                            <w:instrText xml:space="preserve"> PAGE </w:instrText>
                          </w:r>
                          <w:r>
                            <w:fldChar w:fldCharType="separate"/>
                          </w:r>
                          <w:r>
                            <w:rPr>
                              <w:rStyle w:val="47"/>
                            </w:rPr>
                            <w:t>8</w:t>
                          </w:r>
                          <w:r>
                            <w:fldChar w:fldCharType="end"/>
                          </w:r>
                          <w:r>
                            <w:rPr>
                              <w:rFonts w:hint="eastAsia"/>
                            </w:rPr>
                            <w:t xml:space="preserve">                                                                                          </w:t>
                          </w:r>
                          <w:r>
                            <w:rPr>
                              <w:rStyle w:val="47"/>
                              <w:rFonts w:hint="eastAsia"/>
                            </w:rPr>
                            <w:t xml:space="preserve"> </w:t>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BIqJFzgEAAJcDAAAOAAAAAAAAAAEAIAAAAB8BAABkcnMv&#10;ZTJvRG9jLnhtbFBLBQYAAAAABgAGAFkBAABfBQAAAAA=&#10;">
              <v:fill on="f" focussize="0,0"/>
              <v:stroke on="f"/>
              <v:imagedata o:title=""/>
              <o:lock v:ext="edit" aspectratio="f"/>
              <v:textbox inset="0mm,0mm,0mm,0mm" style="mso-fit-shape-to-text:t;">
                <w:txbxContent>
                  <w:p>
                    <w:pPr>
                      <w:pStyle w:val="29"/>
                    </w:pPr>
                    <w:r>
                      <w:t xml:space="preserve"> </w:t>
                    </w:r>
                    <w:r>
                      <w:fldChar w:fldCharType="begin"/>
                    </w:r>
                    <w:r>
                      <w:rPr>
                        <w:rStyle w:val="47"/>
                      </w:rPr>
                      <w:instrText xml:space="preserve"> PAGE </w:instrText>
                    </w:r>
                    <w:r>
                      <w:fldChar w:fldCharType="separate"/>
                    </w:r>
                    <w:r>
                      <w:rPr>
                        <w:rStyle w:val="47"/>
                      </w:rPr>
                      <w:t>8</w:t>
                    </w:r>
                    <w:r>
                      <w:fldChar w:fldCharType="end"/>
                    </w:r>
                    <w:r>
                      <w:rPr>
                        <w:rFonts w:hint="eastAsia"/>
                      </w:rPr>
                      <w:t xml:space="preserve">                                                                                          </w:t>
                    </w:r>
                    <w:r>
                      <w:rPr>
                        <w:rStyle w:val="47"/>
                        <w:rFonts w:hint="eastAsia"/>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instrText xml:space="preserve">PAGE   \* MERGEFORMAT</w:instrText>
    </w:r>
    <w:r>
      <w:fldChar w:fldCharType="separate"/>
    </w:r>
    <w:r>
      <w:rPr>
        <w:lang w:val="zh-CN"/>
      </w:rPr>
      <w:t>45</w:t>
    </w:r>
    <w:r>
      <w:fldChar w:fldCharType="end"/>
    </w:r>
  </w:p>
  <w:p>
    <w:pPr>
      <w:pStyle w:val="29"/>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rFonts w:hint="eastAsia"/>
      </w:rPr>
    </w:pPr>
    <w:r>
      <w:rPr>
        <w:rFonts w:hint="eastAsia"/>
      </w:rPr>
      <w:t xml:space="preserve">  </w:t>
    </w:r>
    <w:r>
      <w:rPr>
        <w:rFonts w:hint="eastAsia"/>
      </w:rPr>
      <w:drawing>
        <wp:anchor distT="0" distB="0" distL="114300" distR="114300" simplePos="0" relativeHeight="251664384" behindDoc="0" locked="0" layoutInCell="1" allowOverlap="1">
          <wp:simplePos x="0" y="0"/>
          <wp:positionH relativeFrom="column">
            <wp:posOffset>-8255</wp:posOffset>
          </wp:positionH>
          <wp:positionV relativeFrom="paragraph">
            <wp:posOffset>-158115</wp:posOffset>
          </wp:positionV>
          <wp:extent cx="1099185" cy="320675"/>
          <wp:effectExtent l="0" t="0" r="0" b="14605"/>
          <wp:wrapNone/>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both"/>
      <w:rPr>
        <w:rFonts w:hint="eastAsia"/>
      </w:rPr>
    </w:pPr>
    <w:r>
      <w:rPr>
        <w:rFonts w:hint="eastAsia"/>
      </w:rPr>
      <w:t xml:space="preserve">  </w:t>
    </w:r>
    <w:r>
      <w:rPr>
        <w:rFonts w:hint="eastAsia"/>
      </w:rPr>
      <w:drawing>
        <wp:anchor distT="0" distB="0" distL="114300" distR="114300" simplePos="0" relativeHeight="251663360" behindDoc="0" locked="0" layoutInCell="1" allowOverlap="1">
          <wp:simplePos x="0" y="0"/>
          <wp:positionH relativeFrom="column">
            <wp:posOffset>-8255</wp:posOffset>
          </wp:positionH>
          <wp:positionV relativeFrom="paragraph">
            <wp:posOffset>-158115</wp:posOffset>
          </wp:positionV>
          <wp:extent cx="1099185" cy="320675"/>
          <wp:effectExtent l="0" t="0" r="0" b="14605"/>
          <wp:wrapNone/>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rFonts w:hint="eastAsia"/>
      </w:rPr>
    </w:pPr>
    <w:r>
      <w:rPr>
        <w:rFonts w:hint="eastAsia"/>
      </w:rPr>
      <w:t xml:space="preserve">  </w:t>
    </w:r>
    <w:r>
      <w:rPr>
        <w:rFonts w:hint="eastAsia"/>
      </w:rPr>
      <w:drawing>
        <wp:anchor distT="0" distB="0" distL="114300" distR="114300" simplePos="0" relativeHeight="251664384" behindDoc="0" locked="0" layoutInCell="1" allowOverlap="1">
          <wp:simplePos x="0" y="0"/>
          <wp:positionH relativeFrom="column">
            <wp:posOffset>-8255</wp:posOffset>
          </wp:positionH>
          <wp:positionV relativeFrom="paragraph">
            <wp:posOffset>-158115</wp:posOffset>
          </wp:positionV>
          <wp:extent cx="1099185" cy="320675"/>
          <wp:effectExtent l="0" t="0" r="0" b="2540"/>
          <wp:wrapNone/>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both"/>
      <w:rPr>
        <w:rFonts w:hint="eastAsia"/>
      </w:rPr>
    </w:pPr>
    <w:r>
      <w:rPr>
        <w:rFonts w:hint="eastAsia"/>
      </w:rPr>
      <w:t xml:space="preserve">  </w:t>
    </w:r>
    <w:r>
      <w:rPr>
        <w:rFonts w:hint="eastAsia"/>
      </w:rPr>
      <w:drawing>
        <wp:anchor distT="0" distB="0" distL="114300" distR="114300" simplePos="0" relativeHeight="251663360" behindDoc="0" locked="0" layoutInCell="1" allowOverlap="1">
          <wp:simplePos x="0" y="0"/>
          <wp:positionH relativeFrom="column">
            <wp:posOffset>-8255</wp:posOffset>
          </wp:positionH>
          <wp:positionV relativeFrom="paragraph">
            <wp:posOffset>-158115</wp:posOffset>
          </wp:positionV>
          <wp:extent cx="1099185" cy="320675"/>
          <wp:effectExtent l="0" t="0" r="0" b="2540"/>
          <wp:wrapNone/>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微软雅黑" w:hAnsi="微软雅黑" w:eastAsia="微软雅黑"/>
        <w:color w:val="FF0000"/>
        <w:sz w:val="16"/>
        <w:szCs w:val="16"/>
      </w:rPr>
    </w:pPr>
    <w:r>
      <w:rPr>
        <w:rFonts w:ascii="微软雅黑" w:hAnsi="微软雅黑" w:eastAsia="微软雅黑"/>
        <w:color w:val="FF0000"/>
        <w:sz w:val="32"/>
        <w:szCs w:val="32"/>
      </w:rPr>
      <w:t xml:space="preserve">              </w:t>
    </w:r>
    <w:r>
      <w:rPr>
        <w:rFonts w:hint="eastAsia"/>
      </w:rPr>
      <w:drawing>
        <wp:anchor distT="0" distB="0" distL="114300" distR="114300" simplePos="0" relativeHeight="251666432" behindDoc="0" locked="0" layoutInCell="1" allowOverlap="1">
          <wp:simplePos x="0" y="0"/>
          <wp:positionH relativeFrom="column">
            <wp:posOffset>208280</wp:posOffset>
          </wp:positionH>
          <wp:positionV relativeFrom="paragraph">
            <wp:posOffset>-158115</wp:posOffset>
          </wp:positionV>
          <wp:extent cx="1099185" cy="320675"/>
          <wp:effectExtent l="0" t="0" r="0" b="2540"/>
          <wp:wrapNone/>
          <wp:docPr id="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r>
      <w:rPr>
        <w:rFonts w:ascii="微软雅黑" w:hAnsi="微软雅黑" w:eastAsia="微软雅黑"/>
        <w:color w:val="FF0000"/>
        <w:sz w:val="32"/>
        <w:szCs w:val="32"/>
      </w:rPr>
      <w:t xml:space="preserve">           </w:t>
    </w:r>
    <w:r>
      <w:rPr>
        <w:rFonts w:ascii="微软雅黑" w:hAnsi="微软雅黑" w:eastAsia="微软雅黑"/>
        <w:sz w:val="32"/>
        <w:szCs w:val="32"/>
      </w:rPr>
      <w:t xml:space="preserve"> </w:t>
    </w:r>
    <w:r>
      <w:rPr>
        <w:rFonts w:hint="eastAsia"/>
        <w:b/>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rFonts w:ascii="微软雅黑" w:hAnsi="微软雅黑" w:eastAsia="微软雅黑"/>
        <w:color w:val="FF0000"/>
        <w:sz w:val="32"/>
        <w:szCs w:val="32"/>
      </w:rPr>
    </w:pPr>
    <w:r>
      <w:rPr>
        <w:rFonts w:ascii="微软雅黑" w:hAnsi="微软雅黑" w:eastAsia="微软雅黑"/>
        <w:color w:val="FF0000"/>
        <w:sz w:val="32"/>
        <w:szCs w:val="32"/>
      </w:rPr>
      <w:t xml:space="preserve">                                          </w:t>
    </w:r>
    <w:r>
      <w:rPr>
        <w:rFonts w:ascii="微软雅黑" w:hAnsi="微软雅黑" w:eastAsia="微软雅黑"/>
        <w:sz w:val="32"/>
        <w:szCs w:val="32"/>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single" w:color="auto" w:sz="6" w:space="0"/>
      </w:pBdr>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drawing>
        <wp:anchor distT="0" distB="0" distL="114300" distR="114300" simplePos="0" relativeHeight="251665408" behindDoc="0" locked="0" layoutInCell="1" allowOverlap="1">
          <wp:simplePos x="0" y="0"/>
          <wp:positionH relativeFrom="column">
            <wp:posOffset>-8255</wp:posOffset>
          </wp:positionH>
          <wp:positionV relativeFrom="paragraph">
            <wp:posOffset>-158115</wp:posOffset>
          </wp:positionV>
          <wp:extent cx="1099185" cy="320675"/>
          <wp:effectExtent l="0" t="0" r="0" b="2540"/>
          <wp:wrapNone/>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
                  <a:srcRect b="18378"/>
                  <a:stretch>
                    <a:fillRect/>
                  </a:stretch>
                </pic:blipFill>
                <pic:spPr>
                  <a:xfrm>
                    <a:off x="0" y="0"/>
                    <a:ext cx="1099185" cy="32067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29CF89"/>
    <w:multiLevelType w:val="singleLevel"/>
    <w:tmpl w:val="E329CF89"/>
    <w:lvl w:ilvl="0" w:tentative="0">
      <w:start w:val="2"/>
      <w:numFmt w:val="decimal"/>
      <w:lvlText w:val="%1."/>
      <w:lvlJc w:val="left"/>
      <w:pPr>
        <w:tabs>
          <w:tab w:val="left" w:pos="312"/>
        </w:tabs>
      </w:pPr>
    </w:lvl>
  </w:abstractNum>
  <w:abstractNum w:abstractNumId="1">
    <w:nsid w:val="2F7D7D37"/>
    <w:multiLevelType w:val="multilevel"/>
    <w:tmpl w:val="2F7D7D37"/>
    <w:lvl w:ilvl="0" w:tentative="0">
      <w:start w:val="1"/>
      <w:numFmt w:val="bullet"/>
      <w:lvlText w:val=""/>
      <w:lvlJc w:val="left"/>
      <w:pPr>
        <w:tabs>
          <w:tab w:val="left" w:pos="1060"/>
        </w:tabs>
        <w:ind w:left="1060" w:hanging="420"/>
      </w:pPr>
      <w:rPr>
        <w:rFonts w:hint="default" w:ascii="Wingdings" w:hAnsi="Wingdings"/>
      </w:rPr>
    </w:lvl>
    <w:lvl w:ilvl="1" w:tentative="0">
      <w:start w:val="1"/>
      <w:numFmt w:val="bullet"/>
      <w:lvlText w:val=""/>
      <w:lvlJc w:val="left"/>
      <w:pPr>
        <w:tabs>
          <w:tab w:val="left" w:pos="1480"/>
        </w:tabs>
        <w:ind w:left="1480" w:hanging="420"/>
      </w:pPr>
      <w:rPr>
        <w:rFonts w:hint="default" w:ascii="Wingdings" w:hAnsi="Wingdings"/>
      </w:rPr>
    </w:lvl>
    <w:lvl w:ilvl="2" w:tentative="0">
      <w:start w:val="1"/>
      <w:numFmt w:val="bullet"/>
      <w:lvlText w:val=""/>
      <w:lvlJc w:val="left"/>
      <w:pPr>
        <w:tabs>
          <w:tab w:val="left" w:pos="1900"/>
        </w:tabs>
        <w:ind w:left="1900" w:hanging="420"/>
      </w:pPr>
      <w:rPr>
        <w:rFonts w:hint="default" w:ascii="Wingdings" w:hAnsi="Wingdings"/>
      </w:rPr>
    </w:lvl>
    <w:lvl w:ilvl="3" w:tentative="0">
      <w:start w:val="1"/>
      <w:numFmt w:val="bullet"/>
      <w:lvlText w:val=""/>
      <w:lvlJc w:val="left"/>
      <w:pPr>
        <w:tabs>
          <w:tab w:val="left" w:pos="2320"/>
        </w:tabs>
        <w:ind w:left="2320" w:hanging="420"/>
      </w:pPr>
      <w:rPr>
        <w:rFonts w:hint="default" w:ascii="Wingdings" w:hAnsi="Wingdings"/>
      </w:rPr>
    </w:lvl>
    <w:lvl w:ilvl="4" w:tentative="0">
      <w:start w:val="1"/>
      <w:numFmt w:val="bullet"/>
      <w:lvlText w:val=""/>
      <w:lvlJc w:val="left"/>
      <w:pPr>
        <w:tabs>
          <w:tab w:val="left" w:pos="2740"/>
        </w:tabs>
        <w:ind w:left="2740" w:hanging="420"/>
      </w:pPr>
      <w:rPr>
        <w:rFonts w:hint="default" w:ascii="Wingdings" w:hAnsi="Wingdings"/>
      </w:rPr>
    </w:lvl>
    <w:lvl w:ilvl="5" w:tentative="0">
      <w:start w:val="1"/>
      <w:numFmt w:val="bullet"/>
      <w:lvlText w:val=""/>
      <w:lvlJc w:val="left"/>
      <w:pPr>
        <w:tabs>
          <w:tab w:val="left" w:pos="3160"/>
        </w:tabs>
        <w:ind w:left="3160" w:hanging="420"/>
      </w:pPr>
      <w:rPr>
        <w:rFonts w:hint="default" w:ascii="Wingdings" w:hAnsi="Wingdings"/>
      </w:rPr>
    </w:lvl>
    <w:lvl w:ilvl="6" w:tentative="0">
      <w:start w:val="1"/>
      <w:numFmt w:val="bullet"/>
      <w:lvlText w:val=""/>
      <w:lvlJc w:val="left"/>
      <w:pPr>
        <w:tabs>
          <w:tab w:val="left" w:pos="3580"/>
        </w:tabs>
        <w:ind w:left="3580" w:hanging="420"/>
      </w:pPr>
      <w:rPr>
        <w:rFonts w:hint="default" w:ascii="Wingdings" w:hAnsi="Wingdings"/>
      </w:rPr>
    </w:lvl>
    <w:lvl w:ilvl="7" w:tentative="0">
      <w:start w:val="1"/>
      <w:numFmt w:val="bullet"/>
      <w:lvlText w:val=""/>
      <w:lvlJc w:val="left"/>
      <w:pPr>
        <w:tabs>
          <w:tab w:val="left" w:pos="4000"/>
        </w:tabs>
        <w:ind w:left="4000" w:hanging="420"/>
      </w:pPr>
      <w:rPr>
        <w:rFonts w:hint="default" w:ascii="Wingdings" w:hAnsi="Wingdings"/>
      </w:rPr>
    </w:lvl>
    <w:lvl w:ilvl="8" w:tentative="0">
      <w:start w:val="1"/>
      <w:numFmt w:val="bullet"/>
      <w:lvlText w:val=""/>
      <w:lvlJc w:val="left"/>
      <w:pPr>
        <w:tabs>
          <w:tab w:val="left" w:pos="4420"/>
        </w:tabs>
        <w:ind w:left="4420" w:hanging="420"/>
      </w:pPr>
      <w:rPr>
        <w:rFonts w:hint="default" w:ascii="Wingdings" w:hAnsi="Wingdings"/>
      </w:rPr>
    </w:lvl>
  </w:abstractNum>
  <w:abstractNum w:abstractNumId="2">
    <w:nsid w:val="4678235B"/>
    <w:multiLevelType w:val="multilevel"/>
    <w:tmpl w:val="4678235B"/>
    <w:lvl w:ilvl="0" w:tentative="0">
      <w:start w:val="1"/>
      <w:numFmt w:val="chineseCountingThousand"/>
      <w:pStyle w:val="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3E50FF"/>
    <w:multiLevelType w:val="multilevel"/>
    <w:tmpl w:val="5A3E50FF"/>
    <w:lvl w:ilvl="0" w:tentative="0">
      <w:start w:val="1"/>
      <w:numFmt w:val="decimal"/>
      <w:pStyle w:val="2"/>
      <w:lvlText w:val="%1."/>
      <w:lvlJc w:val="left"/>
      <w:pPr>
        <w:ind w:left="704"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603541D"/>
    <w:multiLevelType w:val="multilevel"/>
    <w:tmpl w:val="6603541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pStyle w:val="106"/>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6AB0640"/>
    <w:multiLevelType w:val="multilevel"/>
    <w:tmpl w:val="66AB0640"/>
    <w:lvl w:ilvl="0" w:tentative="0">
      <w:start w:val="1"/>
      <w:numFmt w:val="bullet"/>
      <w:lvlText w:val=""/>
      <w:lvlJc w:val="left"/>
      <w:pPr>
        <w:tabs>
          <w:tab w:val="left" w:pos="1060"/>
        </w:tabs>
        <w:ind w:left="1060" w:hanging="420"/>
      </w:pPr>
      <w:rPr>
        <w:rFonts w:hint="default" w:ascii="Wingdings" w:hAnsi="Wingdings"/>
      </w:rPr>
    </w:lvl>
    <w:lvl w:ilvl="1" w:tentative="0">
      <w:start w:val="1"/>
      <w:numFmt w:val="bullet"/>
      <w:lvlText w:val=""/>
      <w:lvlJc w:val="left"/>
      <w:pPr>
        <w:tabs>
          <w:tab w:val="left" w:pos="1480"/>
        </w:tabs>
        <w:ind w:left="1480" w:hanging="420"/>
      </w:pPr>
      <w:rPr>
        <w:rFonts w:hint="default" w:ascii="Wingdings" w:hAnsi="Wingdings"/>
      </w:rPr>
    </w:lvl>
    <w:lvl w:ilvl="2" w:tentative="0">
      <w:start w:val="1"/>
      <w:numFmt w:val="bullet"/>
      <w:lvlText w:val=""/>
      <w:lvlJc w:val="left"/>
      <w:pPr>
        <w:tabs>
          <w:tab w:val="left" w:pos="1900"/>
        </w:tabs>
        <w:ind w:left="1900" w:hanging="420"/>
      </w:pPr>
      <w:rPr>
        <w:rFonts w:hint="default" w:ascii="Wingdings" w:hAnsi="Wingdings"/>
      </w:rPr>
    </w:lvl>
    <w:lvl w:ilvl="3" w:tentative="0">
      <w:start w:val="1"/>
      <w:numFmt w:val="bullet"/>
      <w:lvlText w:val=""/>
      <w:lvlJc w:val="left"/>
      <w:pPr>
        <w:tabs>
          <w:tab w:val="left" w:pos="2320"/>
        </w:tabs>
        <w:ind w:left="2320" w:hanging="420"/>
      </w:pPr>
      <w:rPr>
        <w:rFonts w:hint="default" w:ascii="Wingdings" w:hAnsi="Wingdings"/>
      </w:rPr>
    </w:lvl>
    <w:lvl w:ilvl="4" w:tentative="0">
      <w:start w:val="1"/>
      <w:numFmt w:val="bullet"/>
      <w:lvlText w:val=""/>
      <w:lvlJc w:val="left"/>
      <w:pPr>
        <w:tabs>
          <w:tab w:val="left" w:pos="2740"/>
        </w:tabs>
        <w:ind w:left="2740" w:hanging="420"/>
      </w:pPr>
      <w:rPr>
        <w:rFonts w:hint="default" w:ascii="Wingdings" w:hAnsi="Wingdings"/>
      </w:rPr>
    </w:lvl>
    <w:lvl w:ilvl="5" w:tentative="0">
      <w:start w:val="1"/>
      <w:numFmt w:val="bullet"/>
      <w:lvlText w:val=""/>
      <w:lvlJc w:val="left"/>
      <w:pPr>
        <w:tabs>
          <w:tab w:val="left" w:pos="3160"/>
        </w:tabs>
        <w:ind w:left="3160" w:hanging="420"/>
      </w:pPr>
      <w:rPr>
        <w:rFonts w:hint="default" w:ascii="Wingdings" w:hAnsi="Wingdings"/>
      </w:rPr>
    </w:lvl>
    <w:lvl w:ilvl="6" w:tentative="0">
      <w:start w:val="1"/>
      <w:numFmt w:val="bullet"/>
      <w:lvlText w:val=""/>
      <w:lvlJc w:val="left"/>
      <w:pPr>
        <w:tabs>
          <w:tab w:val="left" w:pos="3580"/>
        </w:tabs>
        <w:ind w:left="3580" w:hanging="420"/>
      </w:pPr>
      <w:rPr>
        <w:rFonts w:hint="default" w:ascii="Wingdings" w:hAnsi="Wingdings"/>
      </w:rPr>
    </w:lvl>
    <w:lvl w:ilvl="7" w:tentative="0">
      <w:start w:val="1"/>
      <w:numFmt w:val="bullet"/>
      <w:lvlText w:val=""/>
      <w:lvlJc w:val="left"/>
      <w:pPr>
        <w:tabs>
          <w:tab w:val="left" w:pos="4000"/>
        </w:tabs>
        <w:ind w:left="4000" w:hanging="420"/>
      </w:pPr>
      <w:rPr>
        <w:rFonts w:hint="default" w:ascii="Wingdings" w:hAnsi="Wingdings"/>
      </w:rPr>
    </w:lvl>
    <w:lvl w:ilvl="8" w:tentative="0">
      <w:start w:val="1"/>
      <w:numFmt w:val="bullet"/>
      <w:lvlText w:val=""/>
      <w:lvlJc w:val="left"/>
      <w:pPr>
        <w:tabs>
          <w:tab w:val="left" w:pos="4420"/>
        </w:tabs>
        <w:ind w:left="4420" w:hanging="420"/>
      </w:pPr>
      <w:rPr>
        <w:rFonts w:hint="default" w:ascii="Wingdings" w:hAnsi="Wingdings"/>
      </w:rPr>
    </w:lvl>
  </w:abstractNum>
  <w:abstractNum w:abstractNumId="6">
    <w:nsid w:val="6FBB183E"/>
    <w:multiLevelType w:val="multilevel"/>
    <w:tmpl w:val="6FBB183E"/>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封面(内部).doc"/>
    <w:docVar w:name="commondata" w:val="eyJoZGlkIjoiZjhkNGQ5Y2I0ODdmNzEwZjYzZDhlZGEyODc5MDVkODgifQ=="/>
    <w:docVar w:name="VTBOLDON" w:val="0"/>
    <w:docVar w:name="VTCASE" w:val="4"/>
    <w:docVar w:name="VTCommandPending" w:val="NONE"/>
    <w:docVar w:name="VTCurMacroFlags$" w:val="NNNN"/>
    <w:docVar w:name="VTINIT" w:val="1"/>
    <w:docVar w:name="VTITALICON" w:val="0"/>
    <w:docVar w:name="VTUNDERLINEON" w:val="0"/>
    <w:docVar w:name="VTypeCAPFlag$" w:val="FALSE"/>
    <w:docVar w:name="VTypeJoinDigitFlag$" w:val="FALSE"/>
    <w:docVar w:name="VTypeLCFlag$" w:val="FALSE"/>
    <w:docVar w:name="VTypeNoSpaceFlag$" w:val="TRUE"/>
    <w:docVar w:name="VTypeSpaceFlag$" w:val="FALSE"/>
    <w:docVar w:name="VTypeUCFlag$" w:val="FALSE"/>
  </w:docVars>
  <w:rsids>
    <w:rsidRoot w:val="001D758B"/>
    <w:rsid w:val="00001D72"/>
    <w:rsid w:val="0000210C"/>
    <w:rsid w:val="000025AB"/>
    <w:rsid w:val="0000276A"/>
    <w:rsid w:val="00002991"/>
    <w:rsid w:val="00002BC1"/>
    <w:rsid w:val="00004A34"/>
    <w:rsid w:val="00005DDD"/>
    <w:rsid w:val="00010AB3"/>
    <w:rsid w:val="00011A10"/>
    <w:rsid w:val="00014692"/>
    <w:rsid w:val="00015C6F"/>
    <w:rsid w:val="00015CED"/>
    <w:rsid w:val="00016A41"/>
    <w:rsid w:val="00020143"/>
    <w:rsid w:val="0002172D"/>
    <w:rsid w:val="0002282A"/>
    <w:rsid w:val="00022ABB"/>
    <w:rsid w:val="0002319B"/>
    <w:rsid w:val="000231FE"/>
    <w:rsid w:val="000255AB"/>
    <w:rsid w:val="00027A79"/>
    <w:rsid w:val="000306D4"/>
    <w:rsid w:val="000332A5"/>
    <w:rsid w:val="000341F1"/>
    <w:rsid w:val="00034A46"/>
    <w:rsid w:val="00035393"/>
    <w:rsid w:val="0003583D"/>
    <w:rsid w:val="00035D42"/>
    <w:rsid w:val="0003639E"/>
    <w:rsid w:val="00037268"/>
    <w:rsid w:val="00037EA1"/>
    <w:rsid w:val="000406B2"/>
    <w:rsid w:val="000408DF"/>
    <w:rsid w:val="00041836"/>
    <w:rsid w:val="00041DA3"/>
    <w:rsid w:val="00041E1D"/>
    <w:rsid w:val="0004282B"/>
    <w:rsid w:val="00042B1C"/>
    <w:rsid w:val="00044E73"/>
    <w:rsid w:val="00045019"/>
    <w:rsid w:val="00045459"/>
    <w:rsid w:val="000456BA"/>
    <w:rsid w:val="00046838"/>
    <w:rsid w:val="000519DE"/>
    <w:rsid w:val="0005296F"/>
    <w:rsid w:val="00053FCE"/>
    <w:rsid w:val="00056725"/>
    <w:rsid w:val="00056B37"/>
    <w:rsid w:val="00057A57"/>
    <w:rsid w:val="00057AC0"/>
    <w:rsid w:val="00057D9D"/>
    <w:rsid w:val="00061ADA"/>
    <w:rsid w:val="000658E3"/>
    <w:rsid w:val="0007209B"/>
    <w:rsid w:val="0007259F"/>
    <w:rsid w:val="00072E32"/>
    <w:rsid w:val="000735D1"/>
    <w:rsid w:val="000757DB"/>
    <w:rsid w:val="00076457"/>
    <w:rsid w:val="00076BE0"/>
    <w:rsid w:val="00076F25"/>
    <w:rsid w:val="0007736B"/>
    <w:rsid w:val="00077607"/>
    <w:rsid w:val="00077BCE"/>
    <w:rsid w:val="00077E94"/>
    <w:rsid w:val="00082B4E"/>
    <w:rsid w:val="000847F5"/>
    <w:rsid w:val="00085D7F"/>
    <w:rsid w:val="00087904"/>
    <w:rsid w:val="00087979"/>
    <w:rsid w:val="00090486"/>
    <w:rsid w:val="0009316C"/>
    <w:rsid w:val="000945A3"/>
    <w:rsid w:val="00095303"/>
    <w:rsid w:val="000974C8"/>
    <w:rsid w:val="00097FD1"/>
    <w:rsid w:val="000A0BA2"/>
    <w:rsid w:val="000A1085"/>
    <w:rsid w:val="000A5D8E"/>
    <w:rsid w:val="000A710F"/>
    <w:rsid w:val="000A7C6D"/>
    <w:rsid w:val="000B10D7"/>
    <w:rsid w:val="000B12E6"/>
    <w:rsid w:val="000B424D"/>
    <w:rsid w:val="000B46BB"/>
    <w:rsid w:val="000B68C1"/>
    <w:rsid w:val="000B728E"/>
    <w:rsid w:val="000C365A"/>
    <w:rsid w:val="000C3E7C"/>
    <w:rsid w:val="000C65D7"/>
    <w:rsid w:val="000C7530"/>
    <w:rsid w:val="000D0B6E"/>
    <w:rsid w:val="000D1139"/>
    <w:rsid w:val="000D1783"/>
    <w:rsid w:val="000D246E"/>
    <w:rsid w:val="000D25C0"/>
    <w:rsid w:val="000D29ED"/>
    <w:rsid w:val="000D4CE0"/>
    <w:rsid w:val="000D5400"/>
    <w:rsid w:val="000D6BB3"/>
    <w:rsid w:val="000D6EED"/>
    <w:rsid w:val="000E0DC5"/>
    <w:rsid w:val="000E2901"/>
    <w:rsid w:val="000E45ED"/>
    <w:rsid w:val="000E6F99"/>
    <w:rsid w:val="000E7394"/>
    <w:rsid w:val="000F0455"/>
    <w:rsid w:val="000F0EB3"/>
    <w:rsid w:val="000F2178"/>
    <w:rsid w:val="000F2247"/>
    <w:rsid w:val="000F26ED"/>
    <w:rsid w:val="000F35EC"/>
    <w:rsid w:val="000F3C5C"/>
    <w:rsid w:val="000F3F92"/>
    <w:rsid w:val="000F4DA2"/>
    <w:rsid w:val="000F6E08"/>
    <w:rsid w:val="000F798A"/>
    <w:rsid w:val="000F7A0D"/>
    <w:rsid w:val="000F7BC4"/>
    <w:rsid w:val="00100545"/>
    <w:rsid w:val="00100A3C"/>
    <w:rsid w:val="00101643"/>
    <w:rsid w:val="00101EF7"/>
    <w:rsid w:val="0010208C"/>
    <w:rsid w:val="00104712"/>
    <w:rsid w:val="00104C95"/>
    <w:rsid w:val="0010722E"/>
    <w:rsid w:val="00111B79"/>
    <w:rsid w:val="0011251B"/>
    <w:rsid w:val="00114410"/>
    <w:rsid w:val="00121611"/>
    <w:rsid w:val="00123573"/>
    <w:rsid w:val="0012527B"/>
    <w:rsid w:val="00125D0C"/>
    <w:rsid w:val="0012671D"/>
    <w:rsid w:val="001267DB"/>
    <w:rsid w:val="0013219D"/>
    <w:rsid w:val="001323FA"/>
    <w:rsid w:val="00132FE5"/>
    <w:rsid w:val="00133DBA"/>
    <w:rsid w:val="00133F57"/>
    <w:rsid w:val="00134EA7"/>
    <w:rsid w:val="00135343"/>
    <w:rsid w:val="00135E4F"/>
    <w:rsid w:val="00135EE6"/>
    <w:rsid w:val="0013744B"/>
    <w:rsid w:val="00137EE2"/>
    <w:rsid w:val="001401C9"/>
    <w:rsid w:val="0014149D"/>
    <w:rsid w:val="00144521"/>
    <w:rsid w:val="0014517D"/>
    <w:rsid w:val="0014679C"/>
    <w:rsid w:val="00146977"/>
    <w:rsid w:val="00147251"/>
    <w:rsid w:val="00147DF5"/>
    <w:rsid w:val="00150D2E"/>
    <w:rsid w:val="001512D1"/>
    <w:rsid w:val="00151968"/>
    <w:rsid w:val="00153001"/>
    <w:rsid w:val="001550FD"/>
    <w:rsid w:val="00155904"/>
    <w:rsid w:val="00155D01"/>
    <w:rsid w:val="0015674E"/>
    <w:rsid w:val="00160621"/>
    <w:rsid w:val="00161871"/>
    <w:rsid w:val="00161BBB"/>
    <w:rsid w:val="00165017"/>
    <w:rsid w:val="001656B7"/>
    <w:rsid w:val="001662DC"/>
    <w:rsid w:val="00167B50"/>
    <w:rsid w:val="00167D17"/>
    <w:rsid w:val="00170E2E"/>
    <w:rsid w:val="0017209C"/>
    <w:rsid w:val="001722CC"/>
    <w:rsid w:val="001724C4"/>
    <w:rsid w:val="0017447A"/>
    <w:rsid w:val="00174EDD"/>
    <w:rsid w:val="00176FA0"/>
    <w:rsid w:val="00180442"/>
    <w:rsid w:val="00181158"/>
    <w:rsid w:val="00181199"/>
    <w:rsid w:val="0018286F"/>
    <w:rsid w:val="00184AF5"/>
    <w:rsid w:val="00185167"/>
    <w:rsid w:val="00185B52"/>
    <w:rsid w:val="001863CF"/>
    <w:rsid w:val="001876B0"/>
    <w:rsid w:val="001876CD"/>
    <w:rsid w:val="001934A9"/>
    <w:rsid w:val="00193D0D"/>
    <w:rsid w:val="00194AB9"/>
    <w:rsid w:val="00195611"/>
    <w:rsid w:val="00196AF0"/>
    <w:rsid w:val="001A23D1"/>
    <w:rsid w:val="001A2C4F"/>
    <w:rsid w:val="001A2EE3"/>
    <w:rsid w:val="001A3A97"/>
    <w:rsid w:val="001A3F67"/>
    <w:rsid w:val="001A440B"/>
    <w:rsid w:val="001A4730"/>
    <w:rsid w:val="001A4B2E"/>
    <w:rsid w:val="001A5D15"/>
    <w:rsid w:val="001A63EC"/>
    <w:rsid w:val="001A6705"/>
    <w:rsid w:val="001A6C5E"/>
    <w:rsid w:val="001A74BB"/>
    <w:rsid w:val="001A7AC2"/>
    <w:rsid w:val="001B04C1"/>
    <w:rsid w:val="001B0C51"/>
    <w:rsid w:val="001B18DA"/>
    <w:rsid w:val="001B1AC6"/>
    <w:rsid w:val="001B1C3A"/>
    <w:rsid w:val="001B3513"/>
    <w:rsid w:val="001B3850"/>
    <w:rsid w:val="001B42FE"/>
    <w:rsid w:val="001B456A"/>
    <w:rsid w:val="001B54CE"/>
    <w:rsid w:val="001B5BA2"/>
    <w:rsid w:val="001B71A8"/>
    <w:rsid w:val="001B7EDF"/>
    <w:rsid w:val="001C33AF"/>
    <w:rsid w:val="001C50C4"/>
    <w:rsid w:val="001C5E41"/>
    <w:rsid w:val="001D0B25"/>
    <w:rsid w:val="001D0FBC"/>
    <w:rsid w:val="001D1023"/>
    <w:rsid w:val="001D2BFE"/>
    <w:rsid w:val="001D2FE1"/>
    <w:rsid w:val="001D3B18"/>
    <w:rsid w:val="001D3BDD"/>
    <w:rsid w:val="001D4D20"/>
    <w:rsid w:val="001D6085"/>
    <w:rsid w:val="001D758B"/>
    <w:rsid w:val="001D7A79"/>
    <w:rsid w:val="001E02C5"/>
    <w:rsid w:val="001E084F"/>
    <w:rsid w:val="001E3958"/>
    <w:rsid w:val="001E3B35"/>
    <w:rsid w:val="001E3C22"/>
    <w:rsid w:val="001E470C"/>
    <w:rsid w:val="001E5510"/>
    <w:rsid w:val="001F246F"/>
    <w:rsid w:val="001F3A74"/>
    <w:rsid w:val="001F6738"/>
    <w:rsid w:val="001F6FB7"/>
    <w:rsid w:val="00201CAB"/>
    <w:rsid w:val="0020277C"/>
    <w:rsid w:val="002033D2"/>
    <w:rsid w:val="00203B23"/>
    <w:rsid w:val="0020557D"/>
    <w:rsid w:val="002112BF"/>
    <w:rsid w:val="00212C3E"/>
    <w:rsid w:val="00215005"/>
    <w:rsid w:val="00215883"/>
    <w:rsid w:val="00216E20"/>
    <w:rsid w:val="002177C6"/>
    <w:rsid w:val="00222401"/>
    <w:rsid w:val="00223A0C"/>
    <w:rsid w:val="00226B0D"/>
    <w:rsid w:val="00226BE4"/>
    <w:rsid w:val="00227BB1"/>
    <w:rsid w:val="002330ED"/>
    <w:rsid w:val="00233201"/>
    <w:rsid w:val="00233F60"/>
    <w:rsid w:val="00234663"/>
    <w:rsid w:val="00234F3D"/>
    <w:rsid w:val="00237650"/>
    <w:rsid w:val="0023794C"/>
    <w:rsid w:val="00240CC6"/>
    <w:rsid w:val="00241707"/>
    <w:rsid w:val="002417CF"/>
    <w:rsid w:val="00243E2D"/>
    <w:rsid w:val="002441EC"/>
    <w:rsid w:val="00244B4B"/>
    <w:rsid w:val="00247446"/>
    <w:rsid w:val="0024756F"/>
    <w:rsid w:val="00247A11"/>
    <w:rsid w:val="002506D4"/>
    <w:rsid w:val="002517C7"/>
    <w:rsid w:val="00252645"/>
    <w:rsid w:val="00252F43"/>
    <w:rsid w:val="00253710"/>
    <w:rsid w:val="0025391C"/>
    <w:rsid w:val="00253E28"/>
    <w:rsid w:val="002552C1"/>
    <w:rsid w:val="0025567B"/>
    <w:rsid w:val="002568DD"/>
    <w:rsid w:val="00261074"/>
    <w:rsid w:val="00262098"/>
    <w:rsid w:val="00263404"/>
    <w:rsid w:val="00264A3D"/>
    <w:rsid w:val="00266C4B"/>
    <w:rsid w:val="00266CF1"/>
    <w:rsid w:val="00270F33"/>
    <w:rsid w:val="002711E0"/>
    <w:rsid w:val="00272619"/>
    <w:rsid w:val="00273947"/>
    <w:rsid w:val="00275352"/>
    <w:rsid w:val="00276C4E"/>
    <w:rsid w:val="00276D48"/>
    <w:rsid w:val="00280985"/>
    <w:rsid w:val="00280EDE"/>
    <w:rsid w:val="002810F8"/>
    <w:rsid w:val="00282253"/>
    <w:rsid w:val="0028319A"/>
    <w:rsid w:val="00283FAB"/>
    <w:rsid w:val="00284640"/>
    <w:rsid w:val="00284A4F"/>
    <w:rsid w:val="002851A8"/>
    <w:rsid w:val="002865C3"/>
    <w:rsid w:val="00286E29"/>
    <w:rsid w:val="00286EC2"/>
    <w:rsid w:val="002879C8"/>
    <w:rsid w:val="00291234"/>
    <w:rsid w:val="002919B9"/>
    <w:rsid w:val="002927AC"/>
    <w:rsid w:val="00292A5B"/>
    <w:rsid w:val="00293B29"/>
    <w:rsid w:val="00295FDC"/>
    <w:rsid w:val="0029682E"/>
    <w:rsid w:val="00296E0C"/>
    <w:rsid w:val="00297754"/>
    <w:rsid w:val="00297845"/>
    <w:rsid w:val="002A0F57"/>
    <w:rsid w:val="002A13AB"/>
    <w:rsid w:val="002A1732"/>
    <w:rsid w:val="002A1B81"/>
    <w:rsid w:val="002A3AD5"/>
    <w:rsid w:val="002A5252"/>
    <w:rsid w:val="002A5882"/>
    <w:rsid w:val="002A773E"/>
    <w:rsid w:val="002B04F1"/>
    <w:rsid w:val="002B184F"/>
    <w:rsid w:val="002B1B45"/>
    <w:rsid w:val="002B263E"/>
    <w:rsid w:val="002B2EAB"/>
    <w:rsid w:val="002B3A30"/>
    <w:rsid w:val="002B4A88"/>
    <w:rsid w:val="002B7462"/>
    <w:rsid w:val="002B7A4E"/>
    <w:rsid w:val="002C0DC6"/>
    <w:rsid w:val="002C2FBB"/>
    <w:rsid w:val="002C3321"/>
    <w:rsid w:val="002C53A6"/>
    <w:rsid w:val="002C7DDA"/>
    <w:rsid w:val="002D2372"/>
    <w:rsid w:val="002D262E"/>
    <w:rsid w:val="002D33EA"/>
    <w:rsid w:val="002D50EF"/>
    <w:rsid w:val="002E0867"/>
    <w:rsid w:val="002E42BC"/>
    <w:rsid w:val="002E63B0"/>
    <w:rsid w:val="002F02CC"/>
    <w:rsid w:val="002F10F1"/>
    <w:rsid w:val="002F1B45"/>
    <w:rsid w:val="002F25DE"/>
    <w:rsid w:val="002F3382"/>
    <w:rsid w:val="002F4638"/>
    <w:rsid w:val="002F677A"/>
    <w:rsid w:val="002F7594"/>
    <w:rsid w:val="00300D62"/>
    <w:rsid w:val="003040BB"/>
    <w:rsid w:val="003045D3"/>
    <w:rsid w:val="00304DA5"/>
    <w:rsid w:val="00304F70"/>
    <w:rsid w:val="00305A3A"/>
    <w:rsid w:val="00305E96"/>
    <w:rsid w:val="00306601"/>
    <w:rsid w:val="00310B9F"/>
    <w:rsid w:val="00310CF0"/>
    <w:rsid w:val="00310EA3"/>
    <w:rsid w:val="00310FE8"/>
    <w:rsid w:val="00311685"/>
    <w:rsid w:val="00311D14"/>
    <w:rsid w:val="00311D6A"/>
    <w:rsid w:val="003125E3"/>
    <w:rsid w:val="00312C26"/>
    <w:rsid w:val="00313469"/>
    <w:rsid w:val="00313E94"/>
    <w:rsid w:val="0031412D"/>
    <w:rsid w:val="0031524D"/>
    <w:rsid w:val="00315A51"/>
    <w:rsid w:val="003171D6"/>
    <w:rsid w:val="00320318"/>
    <w:rsid w:val="00321960"/>
    <w:rsid w:val="00323AC9"/>
    <w:rsid w:val="0032515D"/>
    <w:rsid w:val="00325B04"/>
    <w:rsid w:val="00325D3D"/>
    <w:rsid w:val="00326F96"/>
    <w:rsid w:val="003303B2"/>
    <w:rsid w:val="0033061E"/>
    <w:rsid w:val="00331213"/>
    <w:rsid w:val="00334BFB"/>
    <w:rsid w:val="00334DDD"/>
    <w:rsid w:val="00336DCA"/>
    <w:rsid w:val="00337F0B"/>
    <w:rsid w:val="003400E7"/>
    <w:rsid w:val="003420BE"/>
    <w:rsid w:val="0034369C"/>
    <w:rsid w:val="00345231"/>
    <w:rsid w:val="003521B0"/>
    <w:rsid w:val="003527E8"/>
    <w:rsid w:val="003527F7"/>
    <w:rsid w:val="00354FCB"/>
    <w:rsid w:val="003552CE"/>
    <w:rsid w:val="00355CDC"/>
    <w:rsid w:val="00357729"/>
    <w:rsid w:val="00357BFA"/>
    <w:rsid w:val="00357C39"/>
    <w:rsid w:val="00360B65"/>
    <w:rsid w:val="00361099"/>
    <w:rsid w:val="00361B1E"/>
    <w:rsid w:val="00361F1D"/>
    <w:rsid w:val="00361FB8"/>
    <w:rsid w:val="00363F6C"/>
    <w:rsid w:val="0036774F"/>
    <w:rsid w:val="0037190A"/>
    <w:rsid w:val="003728A7"/>
    <w:rsid w:val="00372BBA"/>
    <w:rsid w:val="003755C6"/>
    <w:rsid w:val="00376062"/>
    <w:rsid w:val="003766E9"/>
    <w:rsid w:val="003769A5"/>
    <w:rsid w:val="00381B3A"/>
    <w:rsid w:val="00384D05"/>
    <w:rsid w:val="00386E04"/>
    <w:rsid w:val="003870F7"/>
    <w:rsid w:val="00391317"/>
    <w:rsid w:val="00392146"/>
    <w:rsid w:val="00392282"/>
    <w:rsid w:val="00392504"/>
    <w:rsid w:val="00394CA2"/>
    <w:rsid w:val="0039572A"/>
    <w:rsid w:val="00397897"/>
    <w:rsid w:val="003A45C4"/>
    <w:rsid w:val="003A493C"/>
    <w:rsid w:val="003B045D"/>
    <w:rsid w:val="003B162E"/>
    <w:rsid w:val="003B24EA"/>
    <w:rsid w:val="003B26B4"/>
    <w:rsid w:val="003B302A"/>
    <w:rsid w:val="003B40A3"/>
    <w:rsid w:val="003B6E20"/>
    <w:rsid w:val="003B783C"/>
    <w:rsid w:val="003B7BA2"/>
    <w:rsid w:val="003B7DBF"/>
    <w:rsid w:val="003C2086"/>
    <w:rsid w:val="003C23C1"/>
    <w:rsid w:val="003C45F4"/>
    <w:rsid w:val="003C4B38"/>
    <w:rsid w:val="003C4BFD"/>
    <w:rsid w:val="003C5599"/>
    <w:rsid w:val="003C5817"/>
    <w:rsid w:val="003D0C73"/>
    <w:rsid w:val="003D1390"/>
    <w:rsid w:val="003D1BF6"/>
    <w:rsid w:val="003D2885"/>
    <w:rsid w:val="003D3880"/>
    <w:rsid w:val="003D4E10"/>
    <w:rsid w:val="003D74ED"/>
    <w:rsid w:val="003D7BBE"/>
    <w:rsid w:val="003D7E39"/>
    <w:rsid w:val="003E096C"/>
    <w:rsid w:val="003E136B"/>
    <w:rsid w:val="003E15A4"/>
    <w:rsid w:val="003E16C6"/>
    <w:rsid w:val="003E251E"/>
    <w:rsid w:val="003E25CC"/>
    <w:rsid w:val="003E294B"/>
    <w:rsid w:val="003E41ED"/>
    <w:rsid w:val="003E4BF3"/>
    <w:rsid w:val="003E5077"/>
    <w:rsid w:val="003F01A5"/>
    <w:rsid w:val="003F037F"/>
    <w:rsid w:val="003F1DD8"/>
    <w:rsid w:val="003F2F41"/>
    <w:rsid w:val="003F39CB"/>
    <w:rsid w:val="003F4435"/>
    <w:rsid w:val="003F45BB"/>
    <w:rsid w:val="003F5BE9"/>
    <w:rsid w:val="00400DCE"/>
    <w:rsid w:val="00401F92"/>
    <w:rsid w:val="00402BB3"/>
    <w:rsid w:val="00402ECE"/>
    <w:rsid w:val="00405CFF"/>
    <w:rsid w:val="00406CFE"/>
    <w:rsid w:val="00407B8D"/>
    <w:rsid w:val="00410DA4"/>
    <w:rsid w:val="0041193F"/>
    <w:rsid w:val="004120B9"/>
    <w:rsid w:val="00412428"/>
    <w:rsid w:val="00413B1F"/>
    <w:rsid w:val="00414A73"/>
    <w:rsid w:val="004174B5"/>
    <w:rsid w:val="004205E5"/>
    <w:rsid w:val="004205E9"/>
    <w:rsid w:val="00421356"/>
    <w:rsid w:val="004215D0"/>
    <w:rsid w:val="0042363A"/>
    <w:rsid w:val="00424482"/>
    <w:rsid w:val="00424E19"/>
    <w:rsid w:val="004261B2"/>
    <w:rsid w:val="0042684E"/>
    <w:rsid w:val="00427BA5"/>
    <w:rsid w:val="00430AD6"/>
    <w:rsid w:val="00432B63"/>
    <w:rsid w:val="00433E78"/>
    <w:rsid w:val="00434C54"/>
    <w:rsid w:val="00436190"/>
    <w:rsid w:val="00436DA9"/>
    <w:rsid w:val="00440512"/>
    <w:rsid w:val="004422B4"/>
    <w:rsid w:val="00442D80"/>
    <w:rsid w:val="00444C86"/>
    <w:rsid w:val="004450D3"/>
    <w:rsid w:val="00445A7C"/>
    <w:rsid w:val="00451C5C"/>
    <w:rsid w:val="0045443F"/>
    <w:rsid w:val="00456F5C"/>
    <w:rsid w:val="004610AC"/>
    <w:rsid w:val="004617DC"/>
    <w:rsid w:val="00463500"/>
    <w:rsid w:val="00464336"/>
    <w:rsid w:val="00465DBB"/>
    <w:rsid w:val="00466073"/>
    <w:rsid w:val="0046669A"/>
    <w:rsid w:val="00466EBC"/>
    <w:rsid w:val="004674EB"/>
    <w:rsid w:val="0047015E"/>
    <w:rsid w:val="004701F1"/>
    <w:rsid w:val="00470E43"/>
    <w:rsid w:val="004715E1"/>
    <w:rsid w:val="00473F8B"/>
    <w:rsid w:val="004744CA"/>
    <w:rsid w:val="00476F43"/>
    <w:rsid w:val="0047783D"/>
    <w:rsid w:val="00477EA2"/>
    <w:rsid w:val="004820C8"/>
    <w:rsid w:val="004821A3"/>
    <w:rsid w:val="0048250B"/>
    <w:rsid w:val="004839DD"/>
    <w:rsid w:val="0048450A"/>
    <w:rsid w:val="00484B8C"/>
    <w:rsid w:val="00485D4F"/>
    <w:rsid w:val="004861F1"/>
    <w:rsid w:val="00486A18"/>
    <w:rsid w:val="00487721"/>
    <w:rsid w:val="004916F8"/>
    <w:rsid w:val="004917FD"/>
    <w:rsid w:val="004918D3"/>
    <w:rsid w:val="00491B62"/>
    <w:rsid w:val="004924F3"/>
    <w:rsid w:val="00492A32"/>
    <w:rsid w:val="00494C9A"/>
    <w:rsid w:val="00496AB4"/>
    <w:rsid w:val="0049771F"/>
    <w:rsid w:val="0049799F"/>
    <w:rsid w:val="004A1993"/>
    <w:rsid w:val="004A228D"/>
    <w:rsid w:val="004A4661"/>
    <w:rsid w:val="004A54F0"/>
    <w:rsid w:val="004A78B1"/>
    <w:rsid w:val="004A7DCA"/>
    <w:rsid w:val="004B0EF1"/>
    <w:rsid w:val="004B13C4"/>
    <w:rsid w:val="004B16A7"/>
    <w:rsid w:val="004B54CD"/>
    <w:rsid w:val="004C0BF1"/>
    <w:rsid w:val="004C1B31"/>
    <w:rsid w:val="004C2817"/>
    <w:rsid w:val="004C2AF8"/>
    <w:rsid w:val="004C2DA9"/>
    <w:rsid w:val="004C3F6B"/>
    <w:rsid w:val="004C4202"/>
    <w:rsid w:val="004C5488"/>
    <w:rsid w:val="004C74DE"/>
    <w:rsid w:val="004C7C62"/>
    <w:rsid w:val="004D0731"/>
    <w:rsid w:val="004D09A8"/>
    <w:rsid w:val="004D20D0"/>
    <w:rsid w:val="004D4840"/>
    <w:rsid w:val="004D5FD6"/>
    <w:rsid w:val="004D6766"/>
    <w:rsid w:val="004D7AA4"/>
    <w:rsid w:val="004E3CD2"/>
    <w:rsid w:val="004E6DC7"/>
    <w:rsid w:val="004E7AD2"/>
    <w:rsid w:val="004E7E78"/>
    <w:rsid w:val="004F037F"/>
    <w:rsid w:val="004F0982"/>
    <w:rsid w:val="004F1101"/>
    <w:rsid w:val="004F1219"/>
    <w:rsid w:val="004F271F"/>
    <w:rsid w:val="004F2DEF"/>
    <w:rsid w:val="004F33F6"/>
    <w:rsid w:val="004F538C"/>
    <w:rsid w:val="004F577F"/>
    <w:rsid w:val="004F659D"/>
    <w:rsid w:val="004F6975"/>
    <w:rsid w:val="00500A09"/>
    <w:rsid w:val="00501BDA"/>
    <w:rsid w:val="005028D7"/>
    <w:rsid w:val="005037A8"/>
    <w:rsid w:val="00504027"/>
    <w:rsid w:val="005046B3"/>
    <w:rsid w:val="0050552C"/>
    <w:rsid w:val="00506141"/>
    <w:rsid w:val="005077A6"/>
    <w:rsid w:val="00511557"/>
    <w:rsid w:val="00511D90"/>
    <w:rsid w:val="00512E39"/>
    <w:rsid w:val="00514B5F"/>
    <w:rsid w:val="00516C96"/>
    <w:rsid w:val="00517C65"/>
    <w:rsid w:val="00520058"/>
    <w:rsid w:val="00523ECA"/>
    <w:rsid w:val="00524068"/>
    <w:rsid w:val="00525EA2"/>
    <w:rsid w:val="00526209"/>
    <w:rsid w:val="0052779E"/>
    <w:rsid w:val="00530914"/>
    <w:rsid w:val="005329CE"/>
    <w:rsid w:val="00532EC0"/>
    <w:rsid w:val="005359F6"/>
    <w:rsid w:val="005365BB"/>
    <w:rsid w:val="00536BD9"/>
    <w:rsid w:val="00536D88"/>
    <w:rsid w:val="00536F05"/>
    <w:rsid w:val="005373AD"/>
    <w:rsid w:val="0054045A"/>
    <w:rsid w:val="00542698"/>
    <w:rsid w:val="00542D5B"/>
    <w:rsid w:val="00545EF4"/>
    <w:rsid w:val="00546C66"/>
    <w:rsid w:val="005478B3"/>
    <w:rsid w:val="00547A03"/>
    <w:rsid w:val="0055088B"/>
    <w:rsid w:val="0055090E"/>
    <w:rsid w:val="00551576"/>
    <w:rsid w:val="00552ED7"/>
    <w:rsid w:val="0055322A"/>
    <w:rsid w:val="00553414"/>
    <w:rsid w:val="00554AE1"/>
    <w:rsid w:val="00555B5C"/>
    <w:rsid w:val="00556D51"/>
    <w:rsid w:val="00557208"/>
    <w:rsid w:val="00557EAF"/>
    <w:rsid w:val="00563E9D"/>
    <w:rsid w:val="00567567"/>
    <w:rsid w:val="00567AA0"/>
    <w:rsid w:val="00570BC9"/>
    <w:rsid w:val="00572003"/>
    <w:rsid w:val="00572514"/>
    <w:rsid w:val="00574531"/>
    <w:rsid w:val="00575910"/>
    <w:rsid w:val="00576069"/>
    <w:rsid w:val="0057665D"/>
    <w:rsid w:val="00577522"/>
    <w:rsid w:val="00580029"/>
    <w:rsid w:val="00581A4C"/>
    <w:rsid w:val="0058433A"/>
    <w:rsid w:val="005843F8"/>
    <w:rsid w:val="00584BB6"/>
    <w:rsid w:val="0059044A"/>
    <w:rsid w:val="00591941"/>
    <w:rsid w:val="005932A1"/>
    <w:rsid w:val="00594CFC"/>
    <w:rsid w:val="005956F4"/>
    <w:rsid w:val="00597B05"/>
    <w:rsid w:val="005A23BD"/>
    <w:rsid w:val="005A27A2"/>
    <w:rsid w:val="005A3978"/>
    <w:rsid w:val="005A7DFE"/>
    <w:rsid w:val="005A7E50"/>
    <w:rsid w:val="005B11D4"/>
    <w:rsid w:val="005B20B7"/>
    <w:rsid w:val="005B5454"/>
    <w:rsid w:val="005B608A"/>
    <w:rsid w:val="005B65AC"/>
    <w:rsid w:val="005B68DE"/>
    <w:rsid w:val="005C0074"/>
    <w:rsid w:val="005C0D21"/>
    <w:rsid w:val="005C3605"/>
    <w:rsid w:val="005C46DD"/>
    <w:rsid w:val="005C6DE7"/>
    <w:rsid w:val="005C6FD8"/>
    <w:rsid w:val="005C74DC"/>
    <w:rsid w:val="005D02A8"/>
    <w:rsid w:val="005D081F"/>
    <w:rsid w:val="005D0E22"/>
    <w:rsid w:val="005D1B62"/>
    <w:rsid w:val="005D21B8"/>
    <w:rsid w:val="005D235E"/>
    <w:rsid w:val="005D24B8"/>
    <w:rsid w:val="005D2DFC"/>
    <w:rsid w:val="005D393A"/>
    <w:rsid w:val="005D3DD1"/>
    <w:rsid w:val="005D6719"/>
    <w:rsid w:val="005D7BAC"/>
    <w:rsid w:val="005E08EF"/>
    <w:rsid w:val="005E116A"/>
    <w:rsid w:val="005E1852"/>
    <w:rsid w:val="005E2C6F"/>
    <w:rsid w:val="005E3C73"/>
    <w:rsid w:val="005E3D50"/>
    <w:rsid w:val="005E5B76"/>
    <w:rsid w:val="005E7A85"/>
    <w:rsid w:val="005F0CF8"/>
    <w:rsid w:val="005F2AC2"/>
    <w:rsid w:val="005F3350"/>
    <w:rsid w:val="005F3980"/>
    <w:rsid w:val="005F52C8"/>
    <w:rsid w:val="005F52D8"/>
    <w:rsid w:val="005F563C"/>
    <w:rsid w:val="005F66E6"/>
    <w:rsid w:val="005F7891"/>
    <w:rsid w:val="005F7D6D"/>
    <w:rsid w:val="00600454"/>
    <w:rsid w:val="00601C50"/>
    <w:rsid w:val="00601E18"/>
    <w:rsid w:val="0060795F"/>
    <w:rsid w:val="00607BB5"/>
    <w:rsid w:val="006110F4"/>
    <w:rsid w:val="0061216F"/>
    <w:rsid w:val="006126EC"/>
    <w:rsid w:val="006127AA"/>
    <w:rsid w:val="006162B5"/>
    <w:rsid w:val="006173C4"/>
    <w:rsid w:val="00617ACD"/>
    <w:rsid w:val="00617C70"/>
    <w:rsid w:val="00620EB9"/>
    <w:rsid w:val="00622A5B"/>
    <w:rsid w:val="00624504"/>
    <w:rsid w:val="00626412"/>
    <w:rsid w:val="00626FA8"/>
    <w:rsid w:val="00627AD7"/>
    <w:rsid w:val="00630BEE"/>
    <w:rsid w:val="00631BA0"/>
    <w:rsid w:val="00631E7F"/>
    <w:rsid w:val="006321A6"/>
    <w:rsid w:val="00634D6C"/>
    <w:rsid w:val="00635AF9"/>
    <w:rsid w:val="00635E6B"/>
    <w:rsid w:val="00637D49"/>
    <w:rsid w:val="00640178"/>
    <w:rsid w:val="006408DA"/>
    <w:rsid w:val="0064389D"/>
    <w:rsid w:val="006445F3"/>
    <w:rsid w:val="00647F9D"/>
    <w:rsid w:val="00650B98"/>
    <w:rsid w:val="00651072"/>
    <w:rsid w:val="00651123"/>
    <w:rsid w:val="0065136E"/>
    <w:rsid w:val="00652D7A"/>
    <w:rsid w:val="00653773"/>
    <w:rsid w:val="006541CA"/>
    <w:rsid w:val="00655EDA"/>
    <w:rsid w:val="00655FC7"/>
    <w:rsid w:val="00656561"/>
    <w:rsid w:val="0065666E"/>
    <w:rsid w:val="00657092"/>
    <w:rsid w:val="00662C9D"/>
    <w:rsid w:val="00662E07"/>
    <w:rsid w:val="00666C45"/>
    <w:rsid w:val="006724ED"/>
    <w:rsid w:val="00674C03"/>
    <w:rsid w:val="00674D48"/>
    <w:rsid w:val="00677F3A"/>
    <w:rsid w:val="00680095"/>
    <w:rsid w:val="006803CD"/>
    <w:rsid w:val="00681F51"/>
    <w:rsid w:val="00682AEC"/>
    <w:rsid w:val="00684251"/>
    <w:rsid w:val="00685DF7"/>
    <w:rsid w:val="00687585"/>
    <w:rsid w:val="00691739"/>
    <w:rsid w:val="0069216D"/>
    <w:rsid w:val="00695976"/>
    <w:rsid w:val="006966A3"/>
    <w:rsid w:val="006A0446"/>
    <w:rsid w:val="006A0931"/>
    <w:rsid w:val="006A0B42"/>
    <w:rsid w:val="006A0E89"/>
    <w:rsid w:val="006A1B3D"/>
    <w:rsid w:val="006A28B8"/>
    <w:rsid w:val="006A5947"/>
    <w:rsid w:val="006A5EFF"/>
    <w:rsid w:val="006A6B39"/>
    <w:rsid w:val="006B03C4"/>
    <w:rsid w:val="006B0A9A"/>
    <w:rsid w:val="006B0AE2"/>
    <w:rsid w:val="006B13E2"/>
    <w:rsid w:val="006B189F"/>
    <w:rsid w:val="006B28B3"/>
    <w:rsid w:val="006B2948"/>
    <w:rsid w:val="006B33C6"/>
    <w:rsid w:val="006B4DD3"/>
    <w:rsid w:val="006B54FC"/>
    <w:rsid w:val="006B5DAA"/>
    <w:rsid w:val="006B5DE4"/>
    <w:rsid w:val="006B7640"/>
    <w:rsid w:val="006B786D"/>
    <w:rsid w:val="006C038D"/>
    <w:rsid w:val="006C1239"/>
    <w:rsid w:val="006C24A6"/>
    <w:rsid w:val="006D101A"/>
    <w:rsid w:val="006D1FF8"/>
    <w:rsid w:val="006D29BA"/>
    <w:rsid w:val="006D3B74"/>
    <w:rsid w:val="006D42EA"/>
    <w:rsid w:val="006D4758"/>
    <w:rsid w:val="006D63C8"/>
    <w:rsid w:val="006D6C56"/>
    <w:rsid w:val="006D78C4"/>
    <w:rsid w:val="006E0C8C"/>
    <w:rsid w:val="006E0E4F"/>
    <w:rsid w:val="006E1CF8"/>
    <w:rsid w:val="006E1FD7"/>
    <w:rsid w:val="006E334E"/>
    <w:rsid w:val="006E41C2"/>
    <w:rsid w:val="006E57F8"/>
    <w:rsid w:val="006E6225"/>
    <w:rsid w:val="006E708C"/>
    <w:rsid w:val="006E7308"/>
    <w:rsid w:val="006F0180"/>
    <w:rsid w:val="006F03CF"/>
    <w:rsid w:val="006F0EFA"/>
    <w:rsid w:val="006F1FE4"/>
    <w:rsid w:val="006F20F1"/>
    <w:rsid w:val="006F3371"/>
    <w:rsid w:val="006F7372"/>
    <w:rsid w:val="006F7462"/>
    <w:rsid w:val="006F79F4"/>
    <w:rsid w:val="00702EA8"/>
    <w:rsid w:val="00703DED"/>
    <w:rsid w:val="00707AEE"/>
    <w:rsid w:val="007112CD"/>
    <w:rsid w:val="00713878"/>
    <w:rsid w:val="00713A96"/>
    <w:rsid w:val="00714206"/>
    <w:rsid w:val="007146C6"/>
    <w:rsid w:val="0071607B"/>
    <w:rsid w:val="007244AB"/>
    <w:rsid w:val="0072479F"/>
    <w:rsid w:val="007247BE"/>
    <w:rsid w:val="00724CC2"/>
    <w:rsid w:val="00724D70"/>
    <w:rsid w:val="00724E72"/>
    <w:rsid w:val="007307AB"/>
    <w:rsid w:val="00731AD7"/>
    <w:rsid w:val="00731C68"/>
    <w:rsid w:val="00732021"/>
    <w:rsid w:val="007329EC"/>
    <w:rsid w:val="00733B3F"/>
    <w:rsid w:val="00734D1A"/>
    <w:rsid w:val="00734E2B"/>
    <w:rsid w:val="00736B57"/>
    <w:rsid w:val="00741643"/>
    <w:rsid w:val="00741B45"/>
    <w:rsid w:val="00742E0B"/>
    <w:rsid w:val="00743112"/>
    <w:rsid w:val="007433B8"/>
    <w:rsid w:val="00744687"/>
    <w:rsid w:val="00744DC8"/>
    <w:rsid w:val="00744F38"/>
    <w:rsid w:val="0074568D"/>
    <w:rsid w:val="0074593B"/>
    <w:rsid w:val="00745EAB"/>
    <w:rsid w:val="00746EF7"/>
    <w:rsid w:val="00747DD0"/>
    <w:rsid w:val="00752008"/>
    <w:rsid w:val="00754E52"/>
    <w:rsid w:val="007569D4"/>
    <w:rsid w:val="0075751E"/>
    <w:rsid w:val="00757EB3"/>
    <w:rsid w:val="00757EF8"/>
    <w:rsid w:val="0076022D"/>
    <w:rsid w:val="007606D4"/>
    <w:rsid w:val="00761037"/>
    <w:rsid w:val="007628AC"/>
    <w:rsid w:val="00763261"/>
    <w:rsid w:val="0076486B"/>
    <w:rsid w:val="00764C0B"/>
    <w:rsid w:val="007657A3"/>
    <w:rsid w:val="007677B9"/>
    <w:rsid w:val="00767986"/>
    <w:rsid w:val="00773B65"/>
    <w:rsid w:val="00774B12"/>
    <w:rsid w:val="00775981"/>
    <w:rsid w:val="00775AA8"/>
    <w:rsid w:val="00776D27"/>
    <w:rsid w:val="00782462"/>
    <w:rsid w:val="00782C72"/>
    <w:rsid w:val="0078586C"/>
    <w:rsid w:val="007863C2"/>
    <w:rsid w:val="007868E6"/>
    <w:rsid w:val="00786AD6"/>
    <w:rsid w:val="007874F9"/>
    <w:rsid w:val="0079147B"/>
    <w:rsid w:val="00791776"/>
    <w:rsid w:val="00791E17"/>
    <w:rsid w:val="00791E34"/>
    <w:rsid w:val="00792043"/>
    <w:rsid w:val="007922A0"/>
    <w:rsid w:val="00793D45"/>
    <w:rsid w:val="007940C0"/>
    <w:rsid w:val="007949A7"/>
    <w:rsid w:val="00794DF3"/>
    <w:rsid w:val="00794F41"/>
    <w:rsid w:val="007950D7"/>
    <w:rsid w:val="007A191D"/>
    <w:rsid w:val="007A1FB6"/>
    <w:rsid w:val="007A25F4"/>
    <w:rsid w:val="007A341D"/>
    <w:rsid w:val="007A5295"/>
    <w:rsid w:val="007A6721"/>
    <w:rsid w:val="007B10A7"/>
    <w:rsid w:val="007B125C"/>
    <w:rsid w:val="007B2A0A"/>
    <w:rsid w:val="007B306F"/>
    <w:rsid w:val="007B3373"/>
    <w:rsid w:val="007B545E"/>
    <w:rsid w:val="007B6217"/>
    <w:rsid w:val="007B7E8D"/>
    <w:rsid w:val="007C0067"/>
    <w:rsid w:val="007C1641"/>
    <w:rsid w:val="007C19AE"/>
    <w:rsid w:val="007C1F2A"/>
    <w:rsid w:val="007C23F9"/>
    <w:rsid w:val="007C2BCD"/>
    <w:rsid w:val="007C3158"/>
    <w:rsid w:val="007C4249"/>
    <w:rsid w:val="007C6E71"/>
    <w:rsid w:val="007C6EE9"/>
    <w:rsid w:val="007C7985"/>
    <w:rsid w:val="007D074A"/>
    <w:rsid w:val="007D2897"/>
    <w:rsid w:val="007D491A"/>
    <w:rsid w:val="007D4A20"/>
    <w:rsid w:val="007D557D"/>
    <w:rsid w:val="007E0C03"/>
    <w:rsid w:val="007E0EE0"/>
    <w:rsid w:val="007E6741"/>
    <w:rsid w:val="007E6FA5"/>
    <w:rsid w:val="007F2227"/>
    <w:rsid w:val="007F27BE"/>
    <w:rsid w:val="007F5971"/>
    <w:rsid w:val="007F5C62"/>
    <w:rsid w:val="007F5EBD"/>
    <w:rsid w:val="007F638D"/>
    <w:rsid w:val="007F73B8"/>
    <w:rsid w:val="00800287"/>
    <w:rsid w:val="00803970"/>
    <w:rsid w:val="00804E5A"/>
    <w:rsid w:val="00805A36"/>
    <w:rsid w:val="00806257"/>
    <w:rsid w:val="008067AC"/>
    <w:rsid w:val="008105A1"/>
    <w:rsid w:val="008134C7"/>
    <w:rsid w:val="0081549E"/>
    <w:rsid w:val="008157F9"/>
    <w:rsid w:val="00817763"/>
    <w:rsid w:val="00817B8F"/>
    <w:rsid w:val="0082018E"/>
    <w:rsid w:val="008208F0"/>
    <w:rsid w:val="00821E22"/>
    <w:rsid w:val="00823F53"/>
    <w:rsid w:val="00826491"/>
    <w:rsid w:val="008269E8"/>
    <w:rsid w:val="00826B0C"/>
    <w:rsid w:val="00830012"/>
    <w:rsid w:val="008320CF"/>
    <w:rsid w:val="00832229"/>
    <w:rsid w:val="00833368"/>
    <w:rsid w:val="00833A44"/>
    <w:rsid w:val="00833B3D"/>
    <w:rsid w:val="00833EEC"/>
    <w:rsid w:val="008362DA"/>
    <w:rsid w:val="00840359"/>
    <w:rsid w:val="00841BFC"/>
    <w:rsid w:val="00842911"/>
    <w:rsid w:val="00842DD2"/>
    <w:rsid w:val="00843635"/>
    <w:rsid w:val="00846641"/>
    <w:rsid w:val="00846FB3"/>
    <w:rsid w:val="00851247"/>
    <w:rsid w:val="008518C5"/>
    <w:rsid w:val="008553A1"/>
    <w:rsid w:val="00857341"/>
    <w:rsid w:val="00861445"/>
    <w:rsid w:val="008623C4"/>
    <w:rsid w:val="00862512"/>
    <w:rsid w:val="008632FF"/>
    <w:rsid w:val="00865CFD"/>
    <w:rsid w:val="008665B2"/>
    <w:rsid w:val="008666CC"/>
    <w:rsid w:val="008676DE"/>
    <w:rsid w:val="00870436"/>
    <w:rsid w:val="00872C74"/>
    <w:rsid w:val="00872F66"/>
    <w:rsid w:val="008735D3"/>
    <w:rsid w:val="00874D97"/>
    <w:rsid w:val="00875BC9"/>
    <w:rsid w:val="00876F35"/>
    <w:rsid w:val="008774C7"/>
    <w:rsid w:val="00880548"/>
    <w:rsid w:val="00880F57"/>
    <w:rsid w:val="0088131E"/>
    <w:rsid w:val="008820FF"/>
    <w:rsid w:val="00882241"/>
    <w:rsid w:val="00885CD5"/>
    <w:rsid w:val="008872A1"/>
    <w:rsid w:val="008879E0"/>
    <w:rsid w:val="0089132B"/>
    <w:rsid w:val="00891441"/>
    <w:rsid w:val="00891BD5"/>
    <w:rsid w:val="008922B9"/>
    <w:rsid w:val="00892723"/>
    <w:rsid w:val="0089471A"/>
    <w:rsid w:val="00894B94"/>
    <w:rsid w:val="00897393"/>
    <w:rsid w:val="008976D9"/>
    <w:rsid w:val="008A01A5"/>
    <w:rsid w:val="008A11E5"/>
    <w:rsid w:val="008A2DB6"/>
    <w:rsid w:val="008A3599"/>
    <w:rsid w:val="008A36F5"/>
    <w:rsid w:val="008A4011"/>
    <w:rsid w:val="008A57E6"/>
    <w:rsid w:val="008B7467"/>
    <w:rsid w:val="008B7841"/>
    <w:rsid w:val="008B7FF7"/>
    <w:rsid w:val="008C04EF"/>
    <w:rsid w:val="008C269C"/>
    <w:rsid w:val="008C30EE"/>
    <w:rsid w:val="008C3B5A"/>
    <w:rsid w:val="008C487D"/>
    <w:rsid w:val="008C6895"/>
    <w:rsid w:val="008C739D"/>
    <w:rsid w:val="008C7C2E"/>
    <w:rsid w:val="008D037D"/>
    <w:rsid w:val="008D0B21"/>
    <w:rsid w:val="008D0D53"/>
    <w:rsid w:val="008D1215"/>
    <w:rsid w:val="008D1C27"/>
    <w:rsid w:val="008D1C45"/>
    <w:rsid w:val="008D2075"/>
    <w:rsid w:val="008D22AB"/>
    <w:rsid w:val="008D25F3"/>
    <w:rsid w:val="008D535C"/>
    <w:rsid w:val="008D5865"/>
    <w:rsid w:val="008D5E51"/>
    <w:rsid w:val="008D6625"/>
    <w:rsid w:val="008D71FC"/>
    <w:rsid w:val="008D77E5"/>
    <w:rsid w:val="008E0D99"/>
    <w:rsid w:val="008E25B5"/>
    <w:rsid w:val="008E288C"/>
    <w:rsid w:val="008E2C69"/>
    <w:rsid w:val="008E4738"/>
    <w:rsid w:val="008E5E24"/>
    <w:rsid w:val="008E61EF"/>
    <w:rsid w:val="008E650B"/>
    <w:rsid w:val="008E6705"/>
    <w:rsid w:val="008E7C1E"/>
    <w:rsid w:val="008F04C1"/>
    <w:rsid w:val="008F0BAE"/>
    <w:rsid w:val="008F1BF4"/>
    <w:rsid w:val="008F1FA5"/>
    <w:rsid w:val="008F23E8"/>
    <w:rsid w:val="008F2668"/>
    <w:rsid w:val="008F29BF"/>
    <w:rsid w:val="008F2AF8"/>
    <w:rsid w:val="008F2B39"/>
    <w:rsid w:val="008F3DAF"/>
    <w:rsid w:val="008F427E"/>
    <w:rsid w:val="008F55D1"/>
    <w:rsid w:val="00901F8E"/>
    <w:rsid w:val="00901FB6"/>
    <w:rsid w:val="0090359C"/>
    <w:rsid w:val="00903967"/>
    <w:rsid w:val="00905C29"/>
    <w:rsid w:val="009068D4"/>
    <w:rsid w:val="00907916"/>
    <w:rsid w:val="00911E47"/>
    <w:rsid w:val="00913A20"/>
    <w:rsid w:val="0091415A"/>
    <w:rsid w:val="009148A6"/>
    <w:rsid w:val="0091597E"/>
    <w:rsid w:val="009214F0"/>
    <w:rsid w:val="00921582"/>
    <w:rsid w:val="00921622"/>
    <w:rsid w:val="00921BF0"/>
    <w:rsid w:val="009223CF"/>
    <w:rsid w:val="0092293A"/>
    <w:rsid w:val="00922CFF"/>
    <w:rsid w:val="00923CF7"/>
    <w:rsid w:val="009242BC"/>
    <w:rsid w:val="00924565"/>
    <w:rsid w:val="00924E0E"/>
    <w:rsid w:val="00926647"/>
    <w:rsid w:val="0092676E"/>
    <w:rsid w:val="00927D6F"/>
    <w:rsid w:val="00936050"/>
    <w:rsid w:val="0093619D"/>
    <w:rsid w:val="00936B6D"/>
    <w:rsid w:val="00941BC5"/>
    <w:rsid w:val="009444D0"/>
    <w:rsid w:val="0094510F"/>
    <w:rsid w:val="0094519F"/>
    <w:rsid w:val="009502CF"/>
    <w:rsid w:val="00950419"/>
    <w:rsid w:val="00951B91"/>
    <w:rsid w:val="00952E3B"/>
    <w:rsid w:val="009545B6"/>
    <w:rsid w:val="0095519C"/>
    <w:rsid w:val="009556FA"/>
    <w:rsid w:val="00957618"/>
    <w:rsid w:val="00957A33"/>
    <w:rsid w:val="00960B94"/>
    <w:rsid w:val="009641A4"/>
    <w:rsid w:val="0096426E"/>
    <w:rsid w:val="009670E9"/>
    <w:rsid w:val="00967E9F"/>
    <w:rsid w:val="00970338"/>
    <w:rsid w:val="00970691"/>
    <w:rsid w:val="0097144F"/>
    <w:rsid w:val="00971D87"/>
    <w:rsid w:val="00971FE6"/>
    <w:rsid w:val="009721C0"/>
    <w:rsid w:val="00974389"/>
    <w:rsid w:val="009744C3"/>
    <w:rsid w:val="0097540F"/>
    <w:rsid w:val="00975C80"/>
    <w:rsid w:val="00975E60"/>
    <w:rsid w:val="0097621B"/>
    <w:rsid w:val="00977FB1"/>
    <w:rsid w:val="00980EDC"/>
    <w:rsid w:val="009818B1"/>
    <w:rsid w:val="00982703"/>
    <w:rsid w:val="009835BF"/>
    <w:rsid w:val="00983C7F"/>
    <w:rsid w:val="00984369"/>
    <w:rsid w:val="009844FD"/>
    <w:rsid w:val="009855CF"/>
    <w:rsid w:val="00987240"/>
    <w:rsid w:val="00987CF4"/>
    <w:rsid w:val="00990FA6"/>
    <w:rsid w:val="00991128"/>
    <w:rsid w:val="009928B9"/>
    <w:rsid w:val="0099309A"/>
    <w:rsid w:val="0099313E"/>
    <w:rsid w:val="009934A7"/>
    <w:rsid w:val="009939AE"/>
    <w:rsid w:val="009947F4"/>
    <w:rsid w:val="009950CD"/>
    <w:rsid w:val="009952BA"/>
    <w:rsid w:val="009964EA"/>
    <w:rsid w:val="00997561"/>
    <w:rsid w:val="00997B67"/>
    <w:rsid w:val="009A1A3B"/>
    <w:rsid w:val="009A1A71"/>
    <w:rsid w:val="009A2E56"/>
    <w:rsid w:val="009A33CC"/>
    <w:rsid w:val="009A435F"/>
    <w:rsid w:val="009A74AF"/>
    <w:rsid w:val="009B115B"/>
    <w:rsid w:val="009B1810"/>
    <w:rsid w:val="009B197B"/>
    <w:rsid w:val="009B1ECF"/>
    <w:rsid w:val="009B2B64"/>
    <w:rsid w:val="009B2E3A"/>
    <w:rsid w:val="009B3484"/>
    <w:rsid w:val="009B5223"/>
    <w:rsid w:val="009B5395"/>
    <w:rsid w:val="009B606A"/>
    <w:rsid w:val="009B698E"/>
    <w:rsid w:val="009B7951"/>
    <w:rsid w:val="009C094C"/>
    <w:rsid w:val="009C10B0"/>
    <w:rsid w:val="009C157E"/>
    <w:rsid w:val="009C1B80"/>
    <w:rsid w:val="009C75CB"/>
    <w:rsid w:val="009C7B57"/>
    <w:rsid w:val="009D17B2"/>
    <w:rsid w:val="009D2908"/>
    <w:rsid w:val="009D35EE"/>
    <w:rsid w:val="009D4280"/>
    <w:rsid w:val="009D53C7"/>
    <w:rsid w:val="009D53D3"/>
    <w:rsid w:val="009D6926"/>
    <w:rsid w:val="009D71E2"/>
    <w:rsid w:val="009E06E1"/>
    <w:rsid w:val="009E0BE0"/>
    <w:rsid w:val="009E14A0"/>
    <w:rsid w:val="009E218A"/>
    <w:rsid w:val="009E2D97"/>
    <w:rsid w:val="009E3006"/>
    <w:rsid w:val="009E3644"/>
    <w:rsid w:val="009E3B4F"/>
    <w:rsid w:val="009E4557"/>
    <w:rsid w:val="009E6024"/>
    <w:rsid w:val="009E6390"/>
    <w:rsid w:val="009E781D"/>
    <w:rsid w:val="009F0222"/>
    <w:rsid w:val="009F0C6F"/>
    <w:rsid w:val="009F0DFE"/>
    <w:rsid w:val="009F10D7"/>
    <w:rsid w:val="009F12E0"/>
    <w:rsid w:val="009F5FED"/>
    <w:rsid w:val="009F7AF2"/>
    <w:rsid w:val="00A010A7"/>
    <w:rsid w:val="00A02D6E"/>
    <w:rsid w:val="00A032B5"/>
    <w:rsid w:val="00A03D71"/>
    <w:rsid w:val="00A04BF8"/>
    <w:rsid w:val="00A05192"/>
    <w:rsid w:val="00A07081"/>
    <w:rsid w:val="00A1277E"/>
    <w:rsid w:val="00A12D88"/>
    <w:rsid w:val="00A163A3"/>
    <w:rsid w:val="00A17238"/>
    <w:rsid w:val="00A20269"/>
    <w:rsid w:val="00A20B26"/>
    <w:rsid w:val="00A21BF4"/>
    <w:rsid w:val="00A2254D"/>
    <w:rsid w:val="00A23A5B"/>
    <w:rsid w:val="00A246CA"/>
    <w:rsid w:val="00A24E1F"/>
    <w:rsid w:val="00A2604F"/>
    <w:rsid w:val="00A32606"/>
    <w:rsid w:val="00A334F8"/>
    <w:rsid w:val="00A34118"/>
    <w:rsid w:val="00A342C9"/>
    <w:rsid w:val="00A34BEB"/>
    <w:rsid w:val="00A352AF"/>
    <w:rsid w:val="00A355A1"/>
    <w:rsid w:val="00A355A8"/>
    <w:rsid w:val="00A365DE"/>
    <w:rsid w:val="00A37608"/>
    <w:rsid w:val="00A408DA"/>
    <w:rsid w:val="00A42D98"/>
    <w:rsid w:val="00A43447"/>
    <w:rsid w:val="00A46890"/>
    <w:rsid w:val="00A471B0"/>
    <w:rsid w:val="00A51380"/>
    <w:rsid w:val="00A52CAE"/>
    <w:rsid w:val="00A53FA6"/>
    <w:rsid w:val="00A544A1"/>
    <w:rsid w:val="00A55E1C"/>
    <w:rsid w:val="00A55FC0"/>
    <w:rsid w:val="00A56ABC"/>
    <w:rsid w:val="00A5788E"/>
    <w:rsid w:val="00A62303"/>
    <w:rsid w:val="00A6278F"/>
    <w:rsid w:val="00A6475E"/>
    <w:rsid w:val="00A64AF8"/>
    <w:rsid w:val="00A6577B"/>
    <w:rsid w:val="00A65BF8"/>
    <w:rsid w:val="00A700D7"/>
    <w:rsid w:val="00A7026D"/>
    <w:rsid w:val="00A70375"/>
    <w:rsid w:val="00A70A71"/>
    <w:rsid w:val="00A70D5B"/>
    <w:rsid w:val="00A71DD2"/>
    <w:rsid w:val="00A731EB"/>
    <w:rsid w:val="00A757C3"/>
    <w:rsid w:val="00A768E3"/>
    <w:rsid w:val="00A76BB4"/>
    <w:rsid w:val="00A77B6E"/>
    <w:rsid w:val="00A80A8A"/>
    <w:rsid w:val="00A82609"/>
    <w:rsid w:val="00A831AD"/>
    <w:rsid w:val="00A83D1E"/>
    <w:rsid w:val="00A84517"/>
    <w:rsid w:val="00A85555"/>
    <w:rsid w:val="00A8635B"/>
    <w:rsid w:val="00A86BAE"/>
    <w:rsid w:val="00A86C7B"/>
    <w:rsid w:val="00A86EF9"/>
    <w:rsid w:val="00A90532"/>
    <w:rsid w:val="00A905D4"/>
    <w:rsid w:val="00A909B8"/>
    <w:rsid w:val="00A90D70"/>
    <w:rsid w:val="00A930ED"/>
    <w:rsid w:val="00A95F32"/>
    <w:rsid w:val="00A96078"/>
    <w:rsid w:val="00A977E3"/>
    <w:rsid w:val="00A97F10"/>
    <w:rsid w:val="00AA08DD"/>
    <w:rsid w:val="00AA0C66"/>
    <w:rsid w:val="00AA13BF"/>
    <w:rsid w:val="00AA1F8E"/>
    <w:rsid w:val="00AA2650"/>
    <w:rsid w:val="00AA2A20"/>
    <w:rsid w:val="00AA2DF5"/>
    <w:rsid w:val="00AA3E0F"/>
    <w:rsid w:val="00AA49BF"/>
    <w:rsid w:val="00AA785D"/>
    <w:rsid w:val="00AB1244"/>
    <w:rsid w:val="00AB279E"/>
    <w:rsid w:val="00AB69F8"/>
    <w:rsid w:val="00AC0033"/>
    <w:rsid w:val="00AC0B9D"/>
    <w:rsid w:val="00AC1B3B"/>
    <w:rsid w:val="00AC32AA"/>
    <w:rsid w:val="00AC33B4"/>
    <w:rsid w:val="00AC775D"/>
    <w:rsid w:val="00AC7789"/>
    <w:rsid w:val="00AD1D0E"/>
    <w:rsid w:val="00AD48CC"/>
    <w:rsid w:val="00AD5188"/>
    <w:rsid w:val="00AD681B"/>
    <w:rsid w:val="00AE0A2E"/>
    <w:rsid w:val="00AE3601"/>
    <w:rsid w:val="00AE389A"/>
    <w:rsid w:val="00AE417E"/>
    <w:rsid w:val="00AE46CB"/>
    <w:rsid w:val="00AE62F1"/>
    <w:rsid w:val="00AE63E6"/>
    <w:rsid w:val="00AE6BFA"/>
    <w:rsid w:val="00AE6F84"/>
    <w:rsid w:val="00AE7008"/>
    <w:rsid w:val="00AF0682"/>
    <w:rsid w:val="00AF08CE"/>
    <w:rsid w:val="00AF10DE"/>
    <w:rsid w:val="00AF4449"/>
    <w:rsid w:val="00AF4A33"/>
    <w:rsid w:val="00AF574D"/>
    <w:rsid w:val="00AF629F"/>
    <w:rsid w:val="00AF779E"/>
    <w:rsid w:val="00B00EF3"/>
    <w:rsid w:val="00B01486"/>
    <w:rsid w:val="00B01E93"/>
    <w:rsid w:val="00B02BD1"/>
    <w:rsid w:val="00B05D13"/>
    <w:rsid w:val="00B12014"/>
    <w:rsid w:val="00B12C41"/>
    <w:rsid w:val="00B12FBE"/>
    <w:rsid w:val="00B13BA6"/>
    <w:rsid w:val="00B13CDA"/>
    <w:rsid w:val="00B15866"/>
    <w:rsid w:val="00B15CAB"/>
    <w:rsid w:val="00B16CAF"/>
    <w:rsid w:val="00B21064"/>
    <w:rsid w:val="00B22844"/>
    <w:rsid w:val="00B2460D"/>
    <w:rsid w:val="00B2464F"/>
    <w:rsid w:val="00B2556C"/>
    <w:rsid w:val="00B25DCF"/>
    <w:rsid w:val="00B26836"/>
    <w:rsid w:val="00B26C82"/>
    <w:rsid w:val="00B30C0D"/>
    <w:rsid w:val="00B3227D"/>
    <w:rsid w:val="00B35410"/>
    <w:rsid w:val="00B360FE"/>
    <w:rsid w:val="00B36539"/>
    <w:rsid w:val="00B37CA7"/>
    <w:rsid w:val="00B400D9"/>
    <w:rsid w:val="00B43281"/>
    <w:rsid w:val="00B43F2C"/>
    <w:rsid w:val="00B44F86"/>
    <w:rsid w:val="00B45428"/>
    <w:rsid w:val="00B45B14"/>
    <w:rsid w:val="00B45D0A"/>
    <w:rsid w:val="00B46222"/>
    <w:rsid w:val="00B4717A"/>
    <w:rsid w:val="00B471BC"/>
    <w:rsid w:val="00B512B9"/>
    <w:rsid w:val="00B51F2E"/>
    <w:rsid w:val="00B54009"/>
    <w:rsid w:val="00B55071"/>
    <w:rsid w:val="00B5587C"/>
    <w:rsid w:val="00B55A8C"/>
    <w:rsid w:val="00B57937"/>
    <w:rsid w:val="00B61AB4"/>
    <w:rsid w:val="00B61D75"/>
    <w:rsid w:val="00B628E0"/>
    <w:rsid w:val="00B62DFD"/>
    <w:rsid w:val="00B65935"/>
    <w:rsid w:val="00B66AE7"/>
    <w:rsid w:val="00B66E57"/>
    <w:rsid w:val="00B66E96"/>
    <w:rsid w:val="00B673A8"/>
    <w:rsid w:val="00B676F2"/>
    <w:rsid w:val="00B73D2B"/>
    <w:rsid w:val="00B742AB"/>
    <w:rsid w:val="00B75D9F"/>
    <w:rsid w:val="00B760A2"/>
    <w:rsid w:val="00B77175"/>
    <w:rsid w:val="00B82271"/>
    <w:rsid w:val="00B828F6"/>
    <w:rsid w:val="00B834F2"/>
    <w:rsid w:val="00B84079"/>
    <w:rsid w:val="00B868DD"/>
    <w:rsid w:val="00B86FF2"/>
    <w:rsid w:val="00B9085C"/>
    <w:rsid w:val="00B9099E"/>
    <w:rsid w:val="00B9265F"/>
    <w:rsid w:val="00B936CA"/>
    <w:rsid w:val="00B937E5"/>
    <w:rsid w:val="00B9470B"/>
    <w:rsid w:val="00B94DD5"/>
    <w:rsid w:val="00B94FF3"/>
    <w:rsid w:val="00B957F0"/>
    <w:rsid w:val="00B96293"/>
    <w:rsid w:val="00B96491"/>
    <w:rsid w:val="00B97078"/>
    <w:rsid w:val="00B9715F"/>
    <w:rsid w:val="00BA0954"/>
    <w:rsid w:val="00BA10DA"/>
    <w:rsid w:val="00BA127C"/>
    <w:rsid w:val="00BA3C8C"/>
    <w:rsid w:val="00BA5140"/>
    <w:rsid w:val="00BA51BB"/>
    <w:rsid w:val="00BA5C05"/>
    <w:rsid w:val="00BA79A7"/>
    <w:rsid w:val="00BB158C"/>
    <w:rsid w:val="00BB1E18"/>
    <w:rsid w:val="00BB3969"/>
    <w:rsid w:val="00BB4F18"/>
    <w:rsid w:val="00BB513D"/>
    <w:rsid w:val="00BB69F2"/>
    <w:rsid w:val="00BC185F"/>
    <w:rsid w:val="00BC2181"/>
    <w:rsid w:val="00BC2D75"/>
    <w:rsid w:val="00BC34E7"/>
    <w:rsid w:val="00BC43AB"/>
    <w:rsid w:val="00BC5DC6"/>
    <w:rsid w:val="00BC5E4E"/>
    <w:rsid w:val="00BC6E7D"/>
    <w:rsid w:val="00BD03DC"/>
    <w:rsid w:val="00BD1E84"/>
    <w:rsid w:val="00BD22BA"/>
    <w:rsid w:val="00BD2512"/>
    <w:rsid w:val="00BD28E0"/>
    <w:rsid w:val="00BD2979"/>
    <w:rsid w:val="00BD36F5"/>
    <w:rsid w:val="00BD39D3"/>
    <w:rsid w:val="00BD4BB5"/>
    <w:rsid w:val="00BD4F06"/>
    <w:rsid w:val="00BD5440"/>
    <w:rsid w:val="00BD617A"/>
    <w:rsid w:val="00BD6A56"/>
    <w:rsid w:val="00BE02A1"/>
    <w:rsid w:val="00BE03BC"/>
    <w:rsid w:val="00BE1006"/>
    <w:rsid w:val="00BE1DE1"/>
    <w:rsid w:val="00BE438D"/>
    <w:rsid w:val="00BE48EC"/>
    <w:rsid w:val="00BE5677"/>
    <w:rsid w:val="00BE5B4D"/>
    <w:rsid w:val="00BE626B"/>
    <w:rsid w:val="00BE6EFE"/>
    <w:rsid w:val="00BF22E1"/>
    <w:rsid w:val="00BF2474"/>
    <w:rsid w:val="00BF34B5"/>
    <w:rsid w:val="00BF5621"/>
    <w:rsid w:val="00BF71C4"/>
    <w:rsid w:val="00BF7587"/>
    <w:rsid w:val="00C03102"/>
    <w:rsid w:val="00C032A7"/>
    <w:rsid w:val="00C033E0"/>
    <w:rsid w:val="00C03FCC"/>
    <w:rsid w:val="00C054DE"/>
    <w:rsid w:val="00C055AC"/>
    <w:rsid w:val="00C06EDB"/>
    <w:rsid w:val="00C07417"/>
    <w:rsid w:val="00C0785E"/>
    <w:rsid w:val="00C07AC8"/>
    <w:rsid w:val="00C10013"/>
    <w:rsid w:val="00C104A3"/>
    <w:rsid w:val="00C10C21"/>
    <w:rsid w:val="00C118D1"/>
    <w:rsid w:val="00C12F85"/>
    <w:rsid w:val="00C13263"/>
    <w:rsid w:val="00C13453"/>
    <w:rsid w:val="00C146B2"/>
    <w:rsid w:val="00C16FE2"/>
    <w:rsid w:val="00C17F26"/>
    <w:rsid w:val="00C22CA2"/>
    <w:rsid w:val="00C25A6A"/>
    <w:rsid w:val="00C26084"/>
    <w:rsid w:val="00C26602"/>
    <w:rsid w:val="00C2665E"/>
    <w:rsid w:val="00C27D94"/>
    <w:rsid w:val="00C27FF9"/>
    <w:rsid w:val="00C30869"/>
    <w:rsid w:val="00C31561"/>
    <w:rsid w:val="00C32F1F"/>
    <w:rsid w:val="00C42C31"/>
    <w:rsid w:val="00C42F07"/>
    <w:rsid w:val="00C43083"/>
    <w:rsid w:val="00C4339C"/>
    <w:rsid w:val="00C44F9A"/>
    <w:rsid w:val="00C450F0"/>
    <w:rsid w:val="00C45E02"/>
    <w:rsid w:val="00C4693D"/>
    <w:rsid w:val="00C47F90"/>
    <w:rsid w:val="00C50428"/>
    <w:rsid w:val="00C51C64"/>
    <w:rsid w:val="00C54DE5"/>
    <w:rsid w:val="00C557F0"/>
    <w:rsid w:val="00C56B4A"/>
    <w:rsid w:val="00C57445"/>
    <w:rsid w:val="00C5752E"/>
    <w:rsid w:val="00C57B72"/>
    <w:rsid w:val="00C57B7F"/>
    <w:rsid w:val="00C57F96"/>
    <w:rsid w:val="00C61961"/>
    <w:rsid w:val="00C63FB8"/>
    <w:rsid w:val="00C64C40"/>
    <w:rsid w:val="00C669A0"/>
    <w:rsid w:val="00C72B60"/>
    <w:rsid w:val="00C73A5B"/>
    <w:rsid w:val="00C74996"/>
    <w:rsid w:val="00C7516C"/>
    <w:rsid w:val="00C76753"/>
    <w:rsid w:val="00C76A57"/>
    <w:rsid w:val="00C80548"/>
    <w:rsid w:val="00C806EB"/>
    <w:rsid w:val="00C82074"/>
    <w:rsid w:val="00C820D1"/>
    <w:rsid w:val="00C83E57"/>
    <w:rsid w:val="00C83F68"/>
    <w:rsid w:val="00C848DA"/>
    <w:rsid w:val="00C8490F"/>
    <w:rsid w:val="00C84BFD"/>
    <w:rsid w:val="00C84CF2"/>
    <w:rsid w:val="00C84DEA"/>
    <w:rsid w:val="00C852D9"/>
    <w:rsid w:val="00C85985"/>
    <w:rsid w:val="00C86553"/>
    <w:rsid w:val="00C923B9"/>
    <w:rsid w:val="00C925CF"/>
    <w:rsid w:val="00C93B0B"/>
    <w:rsid w:val="00C965F3"/>
    <w:rsid w:val="00C972EA"/>
    <w:rsid w:val="00C974DE"/>
    <w:rsid w:val="00C9750D"/>
    <w:rsid w:val="00C9795C"/>
    <w:rsid w:val="00CA353B"/>
    <w:rsid w:val="00CA486A"/>
    <w:rsid w:val="00CA5411"/>
    <w:rsid w:val="00CA5BF5"/>
    <w:rsid w:val="00CA5C96"/>
    <w:rsid w:val="00CA679F"/>
    <w:rsid w:val="00CA7716"/>
    <w:rsid w:val="00CB0DFA"/>
    <w:rsid w:val="00CB12AA"/>
    <w:rsid w:val="00CB224F"/>
    <w:rsid w:val="00CB3534"/>
    <w:rsid w:val="00CB56CB"/>
    <w:rsid w:val="00CC193F"/>
    <w:rsid w:val="00CC1D20"/>
    <w:rsid w:val="00CC3EB3"/>
    <w:rsid w:val="00CC553F"/>
    <w:rsid w:val="00CC585D"/>
    <w:rsid w:val="00CC587B"/>
    <w:rsid w:val="00CC78B2"/>
    <w:rsid w:val="00CD04DC"/>
    <w:rsid w:val="00CD1B18"/>
    <w:rsid w:val="00CD22F5"/>
    <w:rsid w:val="00CD292A"/>
    <w:rsid w:val="00CD2E7D"/>
    <w:rsid w:val="00CD4741"/>
    <w:rsid w:val="00CD4848"/>
    <w:rsid w:val="00CD53A2"/>
    <w:rsid w:val="00CD553E"/>
    <w:rsid w:val="00CD6875"/>
    <w:rsid w:val="00CD7458"/>
    <w:rsid w:val="00CE0696"/>
    <w:rsid w:val="00CE39FC"/>
    <w:rsid w:val="00CE7AD9"/>
    <w:rsid w:val="00CE7B18"/>
    <w:rsid w:val="00CF004B"/>
    <w:rsid w:val="00CF1BF7"/>
    <w:rsid w:val="00CF54FF"/>
    <w:rsid w:val="00CF5F09"/>
    <w:rsid w:val="00CF69E9"/>
    <w:rsid w:val="00CF6B0A"/>
    <w:rsid w:val="00CF77D2"/>
    <w:rsid w:val="00CF794A"/>
    <w:rsid w:val="00D0137E"/>
    <w:rsid w:val="00D018A8"/>
    <w:rsid w:val="00D02049"/>
    <w:rsid w:val="00D024BF"/>
    <w:rsid w:val="00D0259F"/>
    <w:rsid w:val="00D02632"/>
    <w:rsid w:val="00D031AB"/>
    <w:rsid w:val="00D03FBE"/>
    <w:rsid w:val="00D047CD"/>
    <w:rsid w:val="00D0486D"/>
    <w:rsid w:val="00D05894"/>
    <w:rsid w:val="00D05C36"/>
    <w:rsid w:val="00D068A4"/>
    <w:rsid w:val="00D10D73"/>
    <w:rsid w:val="00D11582"/>
    <w:rsid w:val="00D11F33"/>
    <w:rsid w:val="00D1203B"/>
    <w:rsid w:val="00D12DF8"/>
    <w:rsid w:val="00D159D0"/>
    <w:rsid w:val="00D15D24"/>
    <w:rsid w:val="00D206F2"/>
    <w:rsid w:val="00D2080C"/>
    <w:rsid w:val="00D20E99"/>
    <w:rsid w:val="00D2105A"/>
    <w:rsid w:val="00D2125C"/>
    <w:rsid w:val="00D2209C"/>
    <w:rsid w:val="00D2236C"/>
    <w:rsid w:val="00D22862"/>
    <w:rsid w:val="00D241C8"/>
    <w:rsid w:val="00D248BD"/>
    <w:rsid w:val="00D24B99"/>
    <w:rsid w:val="00D25683"/>
    <w:rsid w:val="00D264FE"/>
    <w:rsid w:val="00D274DD"/>
    <w:rsid w:val="00D30538"/>
    <w:rsid w:val="00D3194B"/>
    <w:rsid w:val="00D32388"/>
    <w:rsid w:val="00D336BF"/>
    <w:rsid w:val="00D34E56"/>
    <w:rsid w:val="00D357B7"/>
    <w:rsid w:val="00D37720"/>
    <w:rsid w:val="00D37CFA"/>
    <w:rsid w:val="00D41F75"/>
    <w:rsid w:val="00D42978"/>
    <w:rsid w:val="00D436CB"/>
    <w:rsid w:val="00D44281"/>
    <w:rsid w:val="00D4432F"/>
    <w:rsid w:val="00D45491"/>
    <w:rsid w:val="00D45C1D"/>
    <w:rsid w:val="00D46615"/>
    <w:rsid w:val="00D466AD"/>
    <w:rsid w:val="00D5027D"/>
    <w:rsid w:val="00D50999"/>
    <w:rsid w:val="00D53A20"/>
    <w:rsid w:val="00D55AEA"/>
    <w:rsid w:val="00D5701E"/>
    <w:rsid w:val="00D57923"/>
    <w:rsid w:val="00D61857"/>
    <w:rsid w:val="00D62B78"/>
    <w:rsid w:val="00D63C4E"/>
    <w:rsid w:val="00D640D7"/>
    <w:rsid w:val="00D64A51"/>
    <w:rsid w:val="00D64E97"/>
    <w:rsid w:val="00D651B8"/>
    <w:rsid w:val="00D65635"/>
    <w:rsid w:val="00D6654D"/>
    <w:rsid w:val="00D7086D"/>
    <w:rsid w:val="00D71990"/>
    <w:rsid w:val="00D72A4C"/>
    <w:rsid w:val="00D75D49"/>
    <w:rsid w:val="00D77918"/>
    <w:rsid w:val="00D77F55"/>
    <w:rsid w:val="00D8044C"/>
    <w:rsid w:val="00D812F6"/>
    <w:rsid w:val="00D84353"/>
    <w:rsid w:val="00D85ABF"/>
    <w:rsid w:val="00D86D03"/>
    <w:rsid w:val="00D87844"/>
    <w:rsid w:val="00D90080"/>
    <w:rsid w:val="00D9161C"/>
    <w:rsid w:val="00D92354"/>
    <w:rsid w:val="00D92B30"/>
    <w:rsid w:val="00D934A2"/>
    <w:rsid w:val="00D94FDC"/>
    <w:rsid w:val="00D96E04"/>
    <w:rsid w:val="00D96EC1"/>
    <w:rsid w:val="00D97767"/>
    <w:rsid w:val="00D97989"/>
    <w:rsid w:val="00D97B93"/>
    <w:rsid w:val="00DA0F55"/>
    <w:rsid w:val="00DA1512"/>
    <w:rsid w:val="00DA1F89"/>
    <w:rsid w:val="00DA2065"/>
    <w:rsid w:val="00DA2399"/>
    <w:rsid w:val="00DA3075"/>
    <w:rsid w:val="00DA39F6"/>
    <w:rsid w:val="00DA4630"/>
    <w:rsid w:val="00DA49D0"/>
    <w:rsid w:val="00DA4A6B"/>
    <w:rsid w:val="00DA517D"/>
    <w:rsid w:val="00DA6F01"/>
    <w:rsid w:val="00DA704B"/>
    <w:rsid w:val="00DB0F9B"/>
    <w:rsid w:val="00DB1562"/>
    <w:rsid w:val="00DB1A81"/>
    <w:rsid w:val="00DB2195"/>
    <w:rsid w:val="00DB4CA5"/>
    <w:rsid w:val="00DB4D6A"/>
    <w:rsid w:val="00DB5153"/>
    <w:rsid w:val="00DB54E9"/>
    <w:rsid w:val="00DB6B3E"/>
    <w:rsid w:val="00DC1B85"/>
    <w:rsid w:val="00DC2933"/>
    <w:rsid w:val="00DC4739"/>
    <w:rsid w:val="00DC511A"/>
    <w:rsid w:val="00DC52D1"/>
    <w:rsid w:val="00DC562D"/>
    <w:rsid w:val="00DD2701"/>
    <w:rsid w:val="00DD49A9"/>
    <w:rsid w:val="00DD6D94"/>
    <w:rsid w:val="00DD72A3"/>
    <w:rsid w:val="00DD7839"/>
    <w:rsid w:val="00DE08B4"/>
    <w:rsid w:val="00DE0EBC"/>
    <w:rsid w:val="00DE1612"/>
    <w:rsid w:val="00DE16FF"/>
    <w:rsid w:val="00DE19B8"/>
    <w:rsid w:val="00DE27CA"/>
    <w:rsid w:val="00DE2A51"/>
    <w:rsid w:val="00DE2A6E"/>
    <w:rsid w:val="00DE44A0"/>
    <w:rsid w:val="00DE5EF6"/>
    <w:rsid w:val="00DF03F6"/>
    <w:rsid w:val="00DF040E"/>
    <w:rsid w:val="00DF0E47"/>
    <w:rsid w:val="00DF205E"/>
    <w:rsid w:val="00DF275D"/>
    <w:rsid w:val="00DF5002"/>
    <w:rsid w:val="00DF5FE8"/>
    <w:rsid w:val="00DF61EE"/>
    <w:rsid w:val="00DF7FAE"/>
    <w:rsid w:val="00E000A9"/>
    <w:rsid w:val="00E00D63"/>
    <w:rsid w:val="00E01377"/>
    <w:rsid w:val="00E016A7"/>
    <w:rsid w:val="00E02D5D"/>
    <w:rsid w:val="00E02FE0"/>
    <w:rsid w:val="00E10B07"/>
    <w:rsid w:val="00E147C2"/>
    <w:rsid w:val="00E15D10"/>
    <w:rsid w:val="00E16284"/>
    <w:rsid w:val="00E16621"/>
    <w:rsid w:val="00E207A6"/>
    <w:rsid w:val="00E21C67"/>
    <w:rsid w:val="00E21CE2"/>
    <w:rsid w:val="00E221D9"/>
    <w:rsid w:val="00E23935"/>
    <w:rsid w:val="00E23A54"/>
    <w:rsid w:val="00E23E31"/>
    <w:rsid w:val="00E243E6"/>
    <w:rsid w:val="00E24694"/>
    <w:rsid w:val="00E256A2"/>
    <w:rsid w:val="00E30250"/>
    <w:rsid w:val="00E30970"/>
    <w:rsid w:val="00E31428"/>
    <w:rsid w:val="00E3180B"/>
    <w:rsid w:val="00E326D3"/>
    <w:rsid w:val="00E3287A"/>
    <w:rsid w:val="00E34953"/>
    <w:rsid w:val="00E360C5"/>
    <w:rsid w:val="00E36BBB"/>
    <w:rsid w:val="00E370A3"/>
    <w:rsid w:val="00E37408"/>
    <w:rsid w:val="00E377AF"/>
    <w:rsid w:val="00E403FB"/>
    <w:rsid w:val="00E41E94"/>
    <w:rsid w:val="00E42C1E"/>
    <w:rsid w:val="00E4367F"/>
    <w:rsid w:val="00E452CB"/>
    <w:rsid w:val="00E514B7"/>
    <w:rsid w:val="00E51C1B"/>
    <w:rsid w:val="00E52B9C"/>
    <w:rsid w:val="00E53989"/>
    <w:rsid w:val="00E53FAF"/>
    <w:rsid w:val="00E55A55"/>
    <w:rsid w:val="00E5730C"/>
    <w:rsid w:val="00E61391"/>
    <w:rsid w:val="00E61A47"/>
    <w:rsid w:val="00E61D17"/>
    <w:rsid w:val="00E61D23"/>
    <w:rsid w:val="00E6532A"/>
    <w:rsid w:val="00E656CD"/>
    <w:rsid w:val="00E6575D"/>
    <w:rsid w:val="00E65A59"/>
    <w:rsid w:val="00E661CC"/>
    <w:rsid w:val="00E66F67"/>
    <w:rsid w:val="00E715C1"/>
    <w:rsid w:val="00E73745"/>
    <w:rsid w:val="00E73C37"/>
    <w:rsid w:val="00E74B68"/>
    <w:rsid w:val="00E7649D"/>
    <w:rsid w:val="00E76ADC"/>
    <w:rsid w:val="00E7717D"/>
    <w:rsid w:val="00E80452"/>
    <w:rsid w:val="00E80AB9"/>
    <w:rsid w:val="00E83B24"/>
    <w:rsid w:val="00E84865"/>
    <w:rsid w:val="00E84F44"/>
    <w:rsid w:val="00E84FC8"/>
    <w:rsid w:val="00E864F9"/>
    <w:rsid w:val="00E86A21"/>
    <w:rsid w:val="00E86BA3"/>
    <w:rsid w:val="00E86C0E"/>
    <w:rsid w:val="00E87CD4"/>
    <w:rsid w:val="00E90EFB"/>
    <w:rsid w:val="00E92C79"/>
    <w:rsid w:val="00E92F08"/>
    <w:rsid w:val="00E95DFB"/>
    <w:rsid w:val="00E970F2"/>
    <w:rsid w:val="00E97C2E"/>
    <w:rsid w:val="00EA181C"/>
    <w:rsid w:val="00EA1C61"/>
    <w:rsid w:val="00EA23DB"/>
    <w:rsid w:val="00EA3FAF"/>
    <w:rsid w:val="00EA42C3"/>
    <w:rsid w:val="00EA5986"/>
    <w:rsid w:val="00EA6BE6"/>
    <w:rsid w:val="00EB2053"/>
    <w:rsid w:val="00EB21E0"/>
    <w:rsid w:val="00EB32DF"/>
    <w:rsid w:val="00EB43CD"/>
    <w:rsid w:val="00EB46D1"/>
    <w:rsid w:val="00EB6573"/>
    <w:rsid w:val="00EB67EF"/>
    <w:rsid w:val="00EC02E5"/>
    <w:rsid w:val="00EC0686"/>
    <w:rsid w:val="00EC3D4A"/>
    <w:rsid w:val="00EC4DEB"/>
    <w:rsid w:val="00EC7C0E"/>
    <w:rsid w:val="00EC7D7D"/>
    <w:rsid w:val="00ED0FCA"/>
    <w:rsid w:val="00ED2871"/>
    <w:rsid w:val="00ED4324"/>
    <w:rsid w:val="00ED4A27"/>
    <w:rsid w:val="00ED56A1"/>
    <w:rsid w:val="00ED56EA"/>
    <w:rsid w:val="00ED62C1"/>
    <w:rsid w:val="00ED6B6C"/>
    <w:rsid w:val="00EE1C4B"/>
    <w:rsid w:val="00EE2B9B"/>
    <w:rsid w:val="00EE41A3"/>
    <w:rsid w:val="00EE536D"/>
    <w:rsid w:val="00EE6161"/>
    <w:rsid w:val="00EE6A7F"/>
    <w:rsid w:val="00EE6DF4"/>
    <w:rsid w:val="00EF058F"/>
    <w:rsid w:val="00EF0BB8"/>
    <w:rsid w:val="00EF31AC"/>
    <w:rsid w:val="00EF3477"/>
    <w:rsid w:val="00EF3FBC"/>
    <w:rsid w:val="00EF4AF0"/>
    <w:rsid w:val="00EF502E"/>
    <w:rsid w:val="00EF58D0"/>
    <w:rsid w:val="00EF5A59"/>
    <w:rsid w:val="00F04860"/>
    <w:rsid w:val="00F0546C"/>
    <w:rsid w:val="00F07911"/>
    <w:rsid w:val="00F07995"/>
    <w:rsid w:val="00F10D2B"/>
    <w:rsid w:val="00F11E92"/>
    <w:rsid w:val="00F12F22"/>
    <w:rsid w:val="00F130B7"/>
    <w:rsid w:val="00F14962"/>
    <w:rsid w:val="00F16052"/>
    <w:rsid w:val="00F168EA"/>
    <w:rsid w:val="00F21141"/>
    <w:rsid w:val="00F211FB"/>
    <w:rsid w:val="00F21F53"/>
    <w:rsid w:val="00F23697"/>
    <w:rsid w:val="00F23F8E"/>
    <w:rsid w:val="00F24B37"/>
    <w:rsid w:val="00F24B43"/>
    <w:rsid w:val="00F25B47"/>
    <w:rsid w:val="00F25D8A"/>
    <w:rsid w:val="00F25DDF"/>
    <w:rsid w:val="00F2744F"/>
    <w:rsid w:val="00F30046"/>
    <w:rsid w:val="00F31442"/>
    <w:rsid w:val="00F3165D"/>
    <w:rsid w:val="00F33E9A"/>
    <w:rsid w:val="00F33EF7"/>
    <w:rsid w:val="00F3466A"/>
    <w:rsid w:val="00F36259"/>
    <w:rsid w:val="00F40F09"/>
    <w:rsid w:val="00F42D5F"/>
    <w:rsid w:val="00F4302F"/>
    <w:rsid w:val="00F43750"/>
    <w:rsid w:val="00F4595E"/>
    <w:rsid w:val="00F462B7"/>
    <w:rsid w:val="00F5016D"/>
    <w:rsid w:val="00F52D3C"/>
    <w:rsid w:val="00F5506C"/>
    <w:rsid w:val="00F610A2"/>
    <w:rsid w:val="00F615A0"/>
    <w:rsid w:val="00F61D08"/>
    <w:rsid w:val="00F62040"/>
    <w:rsid w:val="00F62328"/>
    <w:rsid w:val="00F62625"/>
    <w:rsid w:val="00F647DE"/>
    <w:rsid w:val="00F66A4B"/>
    <w:rsid w:val="00F66C12"/>
    <w:rsid w:val="00F66C79"/>
    <w:rsid w:val="00F67604"/>
    <w:rsid w:val="00F71BD2"/>
    <w:rsid w:val="00F72BE2"/>
    <w:rsid w:val="00F742F9"/>
    <w:rsid w:val="00F75ADC"/>
    <w:rsid w:val="00F76906"/>
    <w:rsid w:val="00F77D96"/>
    <w:rsid w:val="00F80D66"/>
    <w:rsid w:val="00F84152"/>
    <w:rsid w:val="00F87BF0"/>
    <w:rsid w:val="00F90586"/>
    <w:rsid w:val="00F940BD"/>
    <w:rsid w:val="00F949E7"/>
    <w:rsid w:val="00F95EDB"/>
    <w:rsid w:val="00FA142A"/>
    <w:rsid w:val="00FA199D"/>
    <w:rsid w:val="00FA2A13"/>
    <w:rsid w:val="00FA3395"/>
    <w:rsid w:val="00FA33A2"/>
    <w:rsid w:val="00FA35A9"/>
    <w:rsid w:val="00FA38E5"/>
    <w:rsid w:val="00FA619A"/>
    <w:rsid w:val="00FA7782"/>
    <w:rsid w:val="00FB0375"/>
    <w:rsid w:val="00FB1501"/>
    <w:rsid w:val="00FB35D2"/>
    <w:rsid w:val="00FB47BB"/>
    <w:rsid w:val="00FB59DB"/>
    <w:rsid w:val="00FB6025"/>
    <w:rsid w:val="00FB69E4"/>
    <w:rsid w:val="00FB6ADE"/>
    <w:rsid w:val="00FB6C3A"/>
    <w:rsid w:val="00FB740A"/>
    <w:rsid w:val="00FC0209"/>
    <w:rsid w:val="00FC0A25"/>
    <w:rsid w:val="00FC0CE2"/>
    <w:rsid w:val="00FC2800"/>
    <w:rsid w:val="00FC3E5F"/>
    <w:rsid w:val="00FC3E82"/>
    <w:rsid w:val="00FC41D0"/>
    <w:rsid w:val="00FC47A3"/>
    <w:rsid w:val="00FC485F"/>
    <w:rsid w:val="00FC4996"/>
    <w:rsid w:val="00FC546F"/>
    <w:rsid w:val="00FC7240"/>
    <w:rsid w:val="00FD01CA"/>
    <w:rsid w:val="00FD4B8C"/>
    <w:rsid w:val="00FD6146"/>
    <w:rsid w:val="00FE0E4A"/>
    <w:rsid w:val="00FE15F2"/>
    <w:rsid w:val="00FE1DD0"/>
    <w:rsid w:val="00FE2FEA"/>
    <w:rsid w:val="00FE3963"/>
    <w:rsid w:val="00FE539A"/>
    <w:rsid w:val="00FE734F"/>
    <w:rsid w:val="00FE79FD"/>
    <w:rsid w:val="00FF08CC"/>
    <w:rsid w:val="00FF0C4D"/>
    <w:rsid w:val="00FF1ECF"/>
    <w:rsid w:val="00FF23E7"/>
    <w:rsid w:val="00FF276D"/>
    <w:rsid w:val="00FF3134"/>
    <w:rsid w:val="00FF3944"/>
    <w:rsid w:val="00FF3FA2"/>
    <w:rsid w:val="00FF4D9E"/>
    <w:rsid w:val="00FF4DDA"/>
    <w:rsid w:val="00FF4F63"/>
    <w:rsid w:val="00FF5C3F"/>
    <w:rsid w:val="00FF77E4"/>
    <w:rsid w:val="01866392"/>
    <w:rsid w:val="01BA1962"/>
    <w:rsid w:val="01DD38D3"/>
    <w:rsid w:val="01E65CA9"/>
    <w:rsid w:val="020B280A"/>
    <w:rsid w:val="02445E38"/>
    <w:rsid w:val="0252665D"/>
    <w:rsid w:val="02656274"/>
    <w:rsid w:val="027D1964"/>
    <w:rsid w:val="02905CC6"/>
    <w:rsid w:val="02B353FD"/>
    <w:rsid w:val="042F236B"/>
    <w:rsid w:val="047C6194"/>
    <w:rsid w:val="04822A24"/>
    <w:rsid w:val="049C2D1F"/>
    <w:rsid w:val="05497802"/>
    <w:rsid w:val="055811B1"/>
    <w:rsid w:val="05A7358C"/>
    <w:rsid w:val="05B70EED"/>
    <w:rsid w:val="05E155B5"/>
    <w:rsid w:val="05E268AE"/>
    <w:rsid w:val="060138BD"/>
    <w:rsid w:val="063947B1"/>
    <w:rsid w:val="06844DBE"/>
    <w:rsid w:val="06DB57CD"/>
    <w:rsid w:val="076B4137"/>
    <w:rsid w:val="077D18C1"/>
    <w:rsid w:val="07EB560A"/>
    <w:rsid w:val="07FA09C8"/>
    <w:rsid w:val="07FD3BCB"/>
    <w:rsid w:val="088A0A07"/>
    <w:rsid w:val="08AD6CEF"/>
    <w:rsid w:val="08EA7301"/>
    <w:rsid w:val="090529F2"/>
    <w:rsid w:val="090B619C"/>
    <w:rsid w:val="090C7E64"/>
    <w:rsid w:val="09186462"/>
    <w:rsid w:val="096036B1"/>
    <w:rsid w:val="098B0C8F"/>
    <w:rsid w:val="0A016E8B"/>
    <w:rsid w:val="0A281A81"/>
    <w:rsid w:val="0A616013"/>
    <w:rsid w:val="0A9653D9"/>
    <w:rsid w:val="0AF45DE4"/>
    <w:rsid w:val="0B02141F"/>
    <w:rsid w:val="0B0C04E4"/>
    <w:rsid w:val="0B4776CB"/>
    <w:rsid w:val="0B5676AB"/>
    <w:rsid w:val="0B591E2E"/>
    <w:rsid w:val="0B904506"/>
    <w:rsid w:val="0BBC4F3C"/>
    <w:rsid w:val="0BD107F3"/>
    <w:rsid w:val="0C493935"/>
    <w:rsid w:val="0C666B3A"/>
    <w:rsid w:val="0C751D3C"/>
    <w:rsid w:val="0C977E21"/>
    <w:rsid w:val="0CAB26D5"/>
    <w:rsid w:val="0CD717F1"/>
    <w:rsid w:val="0CE65882"/>
    <w:rsid w:val="0D4E5761"/>
    <w:rsid w:val="0D583C67"/>
    <w:rsid w:val="0E741CE7"/>
    <w:rsid w:val="0E933D22"/>
    <w:rsid w:val="0E9A672A"/>
    <w:rsid w:val="0F193ED9"/>
    <w:rsid w:val="0F2229F7"/>
    <w:rsid w:val="0F5613B9"/>
    <w:rsid w:val="100C3F23"/>
    <w:rsid w:val="10116FE6"/>
    <w:rsid w:val="10294501"/>
    <w:rsid w:val="10910A1B"/>
    <w:rsid w:val="10CF6E57"/>
    <w:rsid w:val="112E6DF9"/>
    <w:rsid w:val="11ED167B"/>
    <w:rsid w:val="12016814"/>
    <w:rsid w:val="124F2667"/>
    <w:rsid w:val="12A44C22"/>
    <w:rsid w:val="12B023B1"/>
    <w:rsid w:val="12FB4A33"/>
    <w:rsid w:val="135162F3"/>
    <w:rsid w:val="13B338C9"/>
    <w:rsid w:val="140C10C1"/>
    <w:rsid w:val="144614AE"/>
    <w:rsid w:val="14AD02D2"/>
    <w:rsid w:val="14C3401F"/>
    <w:rsid w:val="14F74E0B"/>
    <w:rsid w:val="15335E20"/>
    <w:rsid w:val="15460D75"/>
    <w:rsid w:val="154708AE"/>
    <w:rsid w:val="158029AB"/>
    <w:rsid w:val="158717DE"/>
    <w:rsid w:val="15DE18EA"/>
    <w:rsid w:val="161E03E6"/>
    <w:rsid w:val="161F262E"/>
    <w:rsid w:val="1670437B"/>
    <w:rsid w:val="168B2143"/>
    <w:rsid w:val="16AC2767"/>
    <w:rsid w:val="16EF35E1"/>
    <w:rsid w:val="16FB7B7A"/>
    <w:rsid w:val="16FD1759"/>
    <w:rsid w:val="17032FA2"/>
    <w:rsid w:val="17821B8B"/>
    <w:rsid w:val="1783520C"/>
    <w:rsid w:val="17C967C3"/>
    <w:rsid w:val="17FB6188"/>
    <w:rsid w:val="188879B9"/>
    <w:rsid w:val="188A0ED1"/>
    <w:rsid w:val="18950955"/>
    <w:rsid w:val="18C95831"/>
    <w:rsid w:val="19216AC6"/>
    <w:rsid w:val="19420680"/>
    <w:rsid w:val="19AE7D77"/>
    <w:rsid w:val="19FD0CC8"/>
    <w:rsid w:val="1A3B0898"/>
    <w:rsid w:val="1A40448C"/>
    <w:rsid w:val="1A722F70"/>
    <w:rsid w:val="1A9E72B8"/>
    <w:rsid w:val="1B223F31"/>
    <w:rsid w:val="1B9F7541"/>
    <w:rsid w:val="1BD937BC"/>
    <w:rsid w:val="1BE32589"/>
    <w:rsid w:val="1BEC79C2"/>
    <w:rsid w:val="1C1C12DA"/>
    <w:rsid w:val="1C36422E"/>
    <w:rsid w:val="1C700838"/>
    <w:rsid w:val="1C764394"/>
    <w:rsid w:val="1C7C2D94"/>
    <w:rsid w:val="1C86212C"/>
    <w:rsid w:val="1C933E1B"/>
    <w:rsid w:val="1CB112A1"/>
    <w:rsid w:val="1CF9709D"/>
    <w:rsid w:val="1D2941A1"/>
    <w:rsid w:val="1D6A5139"/>
    <w:rsid w:val="1DDF6BD4"/>
    <w:rsid w:val="1E290FA3"/>
    <w:rsid w:val="1E2D05C9"/>
    <w:rsid w:val="1E7C3D46"/>
    <w:rsid w:val="1E8A5DD5"/>
    <w:rsid w:val="1EE85A55"/>
    <w:rsid w:val="1EFB5963"/>
    <w:rsid w:val="1F053CF4"/>
    <w:rsid w:val="1F2203FF"/>
    <w:rsid w:val="1FB9692F"/>
    <w:rsid w:val="1FDF1459"/>
    <w:rsid w:val="205005A0"/>
    <w:rsid w:val="207A6415"/>
    <w:rsid w:val="20A36C18"/>
    <w:rsid w:val="20D81670"/>
    <w:rsid w:val="20F71702"/>
    <w:rsid w:val="214271D1"/>
    <w:rsid w:val="214310DF"/>
    <w:rsid w:val="214B4E0F"/>
    <w:rsid w:val="21C27524"/>
    <w:rsid w:val="2251717A"/>
    <w:rsid w:val="22551E62"/>
    <w:rsid w:val="229E102C"/>
    <w:rsid w:val="22BC23F5"/>
    <w:rsid w:val="230A3870"/>
    <w:rsid w:val="23156D01"/>
    <w:rsid w:val="236E03B0"/>
    <w:rsid w:val="23716C41"/>
    <w:rsid w:val="245D2237"/>
    <w:rsid w:val="25131D65"/>
    <w:rsid w:val="253B3A95"/>
    <w:rsid w:val="2556598F"/>
    <w:rsid w:val="256E2074"/>
    <w:rsid w:val="2614234E"/>
    <w:rsid w:val="261467F4"/>
    <w:rsid w:val="272C41F2"/>
    <w:rsid w:val="27615D27"/>
    <w:rsid w:val="27877607"/>
    <w:rsid w:val="279455B9"/>
    <w:rsid w:val="27A47607"/>
    <w:rsid w:val="27A635DC"/>
    <w:rsid w:val="27C20162"/>
    <w:rsid w:val="28233866"/>
    <w:rsid w:val="28D27964"/>
    <w:rsid w:val="291A2AB2"/>
    <w:rsid w:val="29A94851"/>
    <w:rsid w:val="29C0614E"/>
    <w:rsid w:val="2A012DF7"/>
    <w:rsid w:val="2A63541A"/>
    <w:rsid w:val="2A997AF3"/>
    <w:rsid w:val="2AD23FD3"/>
    <w:rsid w:val="2ADB055C"/>
    <w:rsid w:val="2ADC2444"/>
    <w:rsid w:val="2B12201B"/>
    <w:rsid w:val="2B331464"/>
    <w:rsid w:val="2B9538ED"/>
    <w:rsid w:val="2B9B6289"/>
    <w:rsid w:val="2BB50512"/>
    <w:rsid w:val="2C164A61"/>
    <w:rsid w:val="2C1A4189"/>
    <w:rsid w:val="2C274598"/>
    <w:rsid w:val="2C313B25"/>
    <w:rsid w:val="2C357514"/>
    <w:rsid w:val="2C5D41A3"/>
    <w:rsid w:val="2CA50ACC"/>
    <w:rsid w:val="2CD60FF7"/>
    <w:rsid w:val="2D2F4FF2"/>
    <w:rsid w:val="2D4D0425"/>
    <w:rsid w:val="2D704887"/>
    <w:rsid w:val="2DAD4BAE"/>
    <w:rsid w:val="2DB672D2"/>
    <w:rsid w:val="2DC23310"/>
    <w:rsid w:val="2DC74427"/>
    <w:rsid w:val="2DE7275E"/>
    <w:rsid w:val="2E807459"/>
    <w:rsid w:val="2E8D41C9"/>
    <w:rsid w:val="2EA8651E"/>
    <w:rsid w:val="2EE03CA5"/>
    <w:rsid w:val="2F184F0D"/>
    <w:rsid w:val="2F3F6739"/>
    <w:rsid w:val="2F4E2FA9"/>
    <w:rsid w:val="2F6808A1"/>
    <w:rsid w:val="2F6E12E0"/>
    <w:rsid w:val="2FDD3212"/>
    <w:rsid w:val="2FE8228B"/>
    <w:rsid w:val="309F5812"/>
    <w:rsid w:val="30D51B2B"/>
    <w:rsid w:val="30FA7DFF"/>
    <w:rsid w:val="31152915"/>
    <w:rsid w:val="31A203EF"/>
    <w:rsid w:val="31AE7611"/>
    <w:rsid w:val="31C439B2"/>
    <w:rsid w:val="31CF33D5"/>
    <w:rsid w:val="31E23EAB"/>
    <w:rsid w:val="324A58CE"/>
    <w:rsid w:val="3278475A"/>
    <w:rsid w:val="327C3161"/>
    <w:rsid w:val="32F257FA"/>
    <w:rsid w:val="331F61ED"/>
    <w:rsid w:val="33435756"/>
    <w:rsid w:val="338E4FDB"/>
    <w:rsid w:val="339C2F54"/>
    <w:rsid w:val="33EA7980"/>
    <w:rsid w:val="3439473C"/>
    <w:rsid w:val="34452A34"/>
    <w:rsid w:val="345A17B9"/>
    <w:rsid w:val="34671A07"/>
    <w:rsid w:val="348F514A"/>
    <w:rsid w:val="34D15BB4"/>
    <w:rsid w:val="34DD1293"/>
    <w:rsid w:val="351063B0"/>
    <w:rsid w:val="35FE1494"/>
    <w:rsid w:val="36173CCD"/>
    <w:rsid w:val="36841B12"/>
    <w:rsid w:val="369F305E"/>
    <w:rsid w:val="37A91900"/>
    <w:rsid w:val="37B336EE"/>
    <w:rsid w:val="38087433"/>
    <w:rsid w:val="38103F89"/>
    <w:rsid w:val="38342703"/>
    <w:rsid w:val="38604B0B"/>
    <w:rsid w:val="38A703A1"/>
    <w:rsid w:val="391A757C"/>
    <w:rsid w:val="39453E84"/>
    <w:rsid w:val="396308EE"/>
    <w:rsid w:val="39664E54"/>
    <w:rsid w:val="39902C7F"/>
    <w:rsid w:val="3A3758E9"/>
    <w:rsid w:val="3AB02623"/>
    <w:rsid w:val="3B02185C"/>
    <w:rsid w:val="3B070E17"/>
    <w:rsid w:val="3B131F80"/>
    <w:rsid w:val="3B892215"/>
    <w:rsid w:val="3BEE2826"/>
    <w:rsid w:val="3BF072E6"/>
    <w:rsid w:val="3C23208C"/>
    <w:rsid w:val="3C682428"/>
    <w:rsid w:val="3C8D366E"/>
    <w:rsid w:val="3CCE198E"/>
    <w:rsid w:val="3CEE3027"/>
    <w:rsid w:val="3CF5550F"/>
    <w:rsid w:val="3D2B37EA"/>
    <w:rsid w:val="3D434B02"/>
    <w:rsid w:val="3D6844C6"/>
    <w:rsid w:val="3DC34C62"/>
    <w:rsid w:val="3DC415D7"/>
    <w:rsid w:val="3DCE4734"/>
    <w:rsid w:val="3E0F72E0"/>
    <w:rsid w:val="3E131957"/>
    <w:rsid w:val="3F694D46"/>
    <w:rsid w:val="3F815EBD"/>
    <w:rsid w:val="3F870779"/>
    <w:rsid w:val="3F8B424E"/>
    <w:rsid w:val="3FEF46A6"/>
    <w:rsid w:val="404E1D8E"/>
    <w:rsid w:val="405939A2"/>
    <w:rsid w:val="406E00C4"/>
    <w:rsid w:val="407B31BE"/>
    <w:rsid w:val="40857CE9"/>
    <w:rsid w:val="41282807"/>
    <w:rsid w:val="41737112"/>
    <w:rsid w:val="41947EA6"/>
    <w:rsid w:val="41A54BBB"/>
    <w:rsid w:val="420665E8"/>
    <w:rsid w:val="420E20C3"/>
    <w:rsid w:val="421050CF"/>
    <w:rsid w:val="42212F8E"/>
    <w:rsid w:val="423372E4"/>
    <w:rsid w:val="428D00BE"/>
    <w:rsid w:val="42B31562"/>
    <w:rsid w:val="42C66428"/>
    <w:rsid w:val="430348D1"/>
    <w:rsid w:val="432D7C11"/>
    <w:rsid w:val="43873B5A"/>
    <w:rsid w:val="439C027C"/>
    <w:rsid w:val="43BD5806"/>
    <w:rsid w:val="43EA3432"/>
    <w:rsid w:val="444240B2"/>
    <w:rsid w:val="445676AA"/>
    <w:rsid w:val="446B7EDC"/>
    <w:rsid w:val="448239F1"/>
    <w:rsid w:val="44DF2EFB"/>
    <w:rsid w:val="450320F1"/>
    <w:rsid w:val="4586581D"/>
    <w:rsid w:val="45911C91"/>
    <w:rsid w:val="45C76287"/>
    <w:rsid w:val="45F560C1"/>
    <w:rsid w:val="46B53D11"/>
    <w:rsid w:val="46B92CF5"/>
    <w:rsid w:val="46FE5827"/>
    <w:rsid w:val="472B3E8A"/>
    <w:rsid w:val="47342478"/>
    <w:rsid w:val="47456E5E"/>
    <w:rsid w:val="47826A43"/>
    <w:rsid w:val="47847862"/>
    <w:rsid w:val="478E1476"/>
    <w:rsid w:val="47B03BA9"/>
    <w:rsid w:val="47BF6FF8"/>
    <w:rsid w:val="47E338C1"/>
    <w:rsid w:val="49082F0A"/>
    <w:rsid w:val="49202B06"/>
    <w:rsid w:val="49347982"/>
    <w:rsid w:val="498C34BA"/>
    <w:rsid w:val="49DF6860"/>
    <w:rsid w:val="49E40672"/>
    <w:rsid w:val="49F805EB"/>
    <w:rsid w:val="4A1E7AFE"/>
    <w:rsid w:val="4A37568C"/>
    <w:rsid w:val="4A3C446A"/>
    <w:rsid w:val="4A9710A2"/>
    <w:rsid w:val="4AC62C1A"/>
    <w:rsid w:val="4ADE6183"/>
    <w:rsid w:val="4B221B36"/>
    <w:rsid w:val="4B920168"/>
    <w:rsid w:val="4BAA0FB5"/>
    <w:rsid w:val="4BC7401F"/>
    <w:rsid w:val="4BFA44DD"/>
    <w:rsid w:val="4C2E4987"/>
    <w:rsid w:val="4C8E53F9"/>
    <w:rsid w:val="4CA05588"/>
    <w:rsid w:val="4CA40042"/>
    <w:rsid w:val="4CAF1A5D"/>
    <w:rsid w:val="4CB840FE"/>
    <w:rsid w:val="4D053E92"/>
    <w:rsid w:val="4D472ED5"/>
    <w:rsid w:val="4D7D11B1"/>
    <w:rsid w:val="4DEB2922"/>
    <w:rsid w:val="4DF42393"/>
    <w:rsid w:val="4E1C0B06"/>
    <w:rsid w:val="4E356315"/>
    <w:rsid w:val="4E7A6315"/>
    <w:rsid w:val="4ED810EF"/>
    <w:rsid w:val="4EE86645"/>
    <w:rsid w:val="4F057E22"/>
    <w:rsid w:val="4F506B2E"/>
    <w:rsid w:val="4F93051B"/>
    <w:rsid w:val="4FCA6E59"/>
    <w:rsid w:val="50342624"/>
    <w:rsid w:val="50344210"/>
    <w:rsid w:val="50510FDF"/>
    <w:rsid w:val="50AD7394"/>
    <w:rsid w:val="50F361AF"/>
    <w:rsid w:val="511710AD"/>
    <w:rsid w:val="516F6B28"/>
    <w:rsid w:val="517A4EB9"/>
    <w:rsid w:val="51846ACD"/>
    <w:rsid w:val="51914ADE"/>
    <w:rsid w:val="51A97544"/>
    <w:rsid w:val="51D938FA"/>
    <w:rsid w:val="52061ABA"/>
    <w:rsid w:val="53211D72"/>
    <w:rsid w:val="53953697"/>
    <w:rsid w:val="53BA2E6A"/>
    <w:rsid w:val="53D1664B"/>
    <w:rsid w:val="54781027"/>
    <w:rsid w:val="549B7DDF"/>
    <w:rsid w:val="54A90C58"/>
    <w:rsid w:val="54CE7635"/>
    <w:rsid w:val="5505650E"/>
    <w:rsid w:val="55D97CA0"/>
    <w:rsid w:val="55ED6FA4"/>
    <w:rsid w:val="55FE6AD6"/>
    <w:rsid w:val="56195A72"/>
    <w:rsid w:val="565C4797"/>
    <w:rsid w:val="566A22EE"/>
    <w:rsid w:val="5741497D"/>
    <w:rsid w:val="575653FD"/>
    <w:rsid w:val="57571140"/>
    <w:rsid w:val="575B79DB"/>
    <w:rsid w:val="5796443F"/>
    <w:rsid w:val="57D31D95"/>
    <w:rsid w:val="57DC1E84"/>
    <w:rsid w:val="57F2549C"/>
    <w:rsid w:val="580341C0"/>
    <w:rsid w:val="58171515"/>
    <w:rsid w:val="58317299"/>
    <w:rsid w:val="58723A8D"/>
    <w:rsid w:val="58836646"/>
    <w:rsid w:val="58AE46E8"/>
    <w:rsid w:val="58FC141E"/>
    <w:rsid w:val="5919023C"/>
    <w:rsid w:val="593C3F2A"/>
    <w:rsid w:val="59522196"/>
    <w:rsid w:val="596B47A8"/>
    <w:rsid w:val="597C1FA1"/>
    <w:rsid w:val="59F9470A"/>
    <w:rsid w:val="5A0C1180"/>
    <w:rsid w:val="5A3A405E"/>
    <w:rsid w:val="5A603DC6"/>
    <w:rsid w:val="5A60569E"/>
    <w:rsid w:val="5ABB06AC"/>
    <w:rsid w:val="5ACF2987"/>
    <w:rsid w:val="5B020B45"/>
    <w:rsid w:val="5B3A7AB8"/>
    <w:rsid w:val="5B6E40BE"/>
    <w:rsid w:val="5B715A14"/>
    <w:rsid w:val="5BA461AB"/>
    <w:rsid w:val="5C675FBD"/>
    <w:rsid w:val="5CD050B5"/>
    <w:rsid w:val="5D2D376B"/>
    <w:rsid w:val="5D502C9D"/>
    <w:rsid w:val="5D732DD5"/>
    <w:rsid w:val="5E0F49B9"/>
    <w:rsid w:val="5E1D0E75"/>
    <w:rsid w:val="5E277206"/>
    <w:rsid w:val="5E5C2544"/>
    <w:rsid w:val="5E677416"/>
    <w:rsid w:val="5E8E3767"/>
    <w:rsid w:val="5EEB49C6"/>
    <w:rsid w:val="5EF82066"/>
    <w:rsid w:val="5F3B5F76"/>
    <w:rsid w:val="5F62370B"/>
    <w:rsid w:val="5F834DED"/>
    <w:rsid w:val="5FC65CAB"/>
    <w:rsid w:val="60736A45"/>
    <w:rsid w:val="60A76A75"/>
    <w:rsid w:val="60A85FA1"/>
    <w:rsid w:val="60AB4FF7"/>
    <w:rsid w:val="61813705"/>
    <w:rsid w:val="61E324A5"/>
    <w:rsid w:val="62444AC8"/>
    <w:rsid w:val="626671FB"/>
    <w:rsid w:val="628A29D7"/>
    <w:rsid w:val="62B01BF9"/>
    <w:rsid w:val="639456EF"/>
    <w:rsid w:val="63AE3C76"/>
    <w:rsid w:val="64817DBA"/>
    <w:rsid w:val="6493347B"/>
    <w:rsid w:val="651B09EE"/>
    <w:rsid w:val="65252EF0"/>
    <w:rsid w:val="65474D35"/>
    <w:rsid w:val="657E0F29"/>
    <w:rsid w:val="65A06A24"/>
    <w:rsid w:val="66034637"/>
    <w:rsid w:val="664107D0"/>
    <w:rsid w:val="66F97F7F"/>
    <w:rsid w:val="67140216"/>
    <w:rsid w:val="673B70D0"/>
    <w:rsid w:val="67873066"/>
    <w:rsid w:val="67C9486F"/>
    <w:rsid w:val="67D006CB"/>
    <w:rsid w:val="6802206A"/>
    <w:rsid w:val="68A46AF8"/>
    <w:rsid w:val="68B7210C"/>
    <w:rsid w:val="68D45623"/>
    <w:rsid w:val="6905635A"/>
    <w:rsid w:val="69062F15"/>
    <w:rsid w:val="691702F9"/>
    <w:rsid w:val="6931145B"/>
    <w:rsid w:val="693862AF"/>
    <w:rsid w:val="69413CD8"/>
    <w:rsid w:val="699A3842"/>
    <w:rsid w:val="69B80E26"/>
    <w:rsid w:val="69F05A5E"/>
    <w:rsid w:val="6A0D56E4"/>
    <w:rsid w:val="6A4C280C"/>
    <w:rsid w:val="6A8B578E"/>
    <w:rsid w:val="6AB15AAC"/>
    <w:rsid w:val="6B3744BD"/>
    <w:rsid w:val="6BC4672D"/>
    <w:rsid w:val="6BE06AF1"/>
    <w:rsid w:val="6C0F21D5"/>
    <w:rsid w:val="6C1A3DE9"/>
    <w:rsid w:val="6C5E2D5A"/>
    <w:rsid w:val="6CA90CAA"/>
    <w:rsid w:val="6CAA16D3"/>
    <w:rsid w:val="6CD81D64"/>
    <w:rsid w:val="6CF854B9"/>
    <w:rsid w:val="6D095C70"/>
    <w:rsid w:val="6D1E5C16"/>
    <w:rsid w:val="6DD1799B"/>
    <w:rsid w:val="6DF87AF7"/>
    <w:rsid w:val="6EA26A99"/>
    <w:rsid w:val="6EA64798"/>
    <w:rsid w:val="6ECE42BB"/>
    <w:rsid w:val="6EDC35ED"/>
    <w:rsid w:val="6F1C7C5A"/>
    <w:rsid w:val="6F3D238D"/>
    <w:rsid w:val="6F6330E6"/>
    <w:rsid w:val="6F69430A"/>
    <w:rsid w:val="6FC335D4"/>
    <w:rsid w:val="702419EF"/>
    <w:rsid w:val="70760649"/>
    <w:rsid w:val="708602BE"/>
    <w:rsid w:val="70926C5B"/>
    <w:rsid w:val="70AE52B6"/>
    <w:rsid w:val="719B74E4"/>
    <w:rsid w:val="71B53E8A"/>
    <w:rsid w:val="71C33614"/>
    <w:rsid w:val="726141B3"/>
    <w:rsid w:val="728124EA"/>
    <w:rsid w:val="72C703F4"/>
    <w:rsid w:val="72DB63FA"/>
    <w:rsid w:val="72F8122F"/>
    <w:rsid w:val="733C00BF"/>
    <w:rsid w:val="74080BE7"/>
    <w:rsid w:val="745E035D"/>
    <w:rsid w:val="74954A3C"/>
    <w:rsid w:val="74966ECC"/>
    <w:rsid w:val="74AB0875"/>
    <w:rsid w:val="758109FC"/>
    <w:rsid w:val="761A51B5"/>
    <w:rsid w:val="761B37B0"/>
    <w:rsid w:val="7659108F"/>
    <w:rsid w:val="76826DA3"/>
    <w:rsid w:val="76936197"/>
    <w:rsid w:val="76946AE1"/>
    <w:rsid w:val="769A2808"/>
    <w:rsid w:val="76F94FDA"/>
    <w:rsid w:val="770B6569"/>
    <w:rsid w:val="77702946"/>
    <w:rsid w:val="77D4769A"/>
    <w:rsid w:val="787C3AB9"/>
    <w:rsid w:val="78A05E2C"/>
    <w:rsid w:val="79346E6A"/>
    <w:rsid w:val="794140B1"/>
    <w:rsid w:val="797A1E55"/>
    <w:rsid w:val="79BB4ABD"/>
    <w:rsid w:val="79CB69EC"/>
    <w:rsid w:val="79EA3F2A"/>
    <w:rsid w:val="7A7C5C7E"/>
    <w:rsid w:val="7A7F7A06"/>
    <w:rsid w:val="7BC43205"/>
    <w:rsid w:val="7BD31C2E"/>
    <w:rsid w:val="7BE718FC"/>
    <w:rsid w:val="7BEC2477"/>
    <w:rsid w:val="7C376D58"/>
    <w:rsid w:val="7C4D01E2"/>
    <w:rsid w:val="7C764515"/>
    <w:rsid w:val="7C8A407B"/>
    <w:rsid w:val="7C902832"/>
    <w:rsid w:val="7CBC325D"/>
    <w:rsid w:val="7CDD4693"/>
    <w:rsid w:val="7D0F483D"/>
    <w:rsid w:val="7D263FE0"/>
    <w:rsid w:val="7D3127F3"/>
    <w:rsid w:val="7D722E88"/>
    <w:rsid w:val="7D74353C"/>
    <w:rsid w:val="7DE1316F"/>
    <w:rsid w:val="7E3E6C53"/>
    <w:rsid w:val="7E65647C"/>
    <w:rsid w:val="7EDD094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qFormat="1" w:unhideWhenUsed="0" w:uiPriority="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1"/>
    <w:qFormat/>
    <w:uiPriority w:val="0"/>
    <w:pPr>
      <w:keepNext/>
      <w:keepLines/>
      <w:numPr>
        <w:ilvl w:val="0"/>
        <w:numId w:val="1"/>
      </w:numPr>
      <w:spacing w:before="260" w:after="260"/>
      <w:jc w:val="center"/>
      <w:outlineLvl w:val="1"/>
    </w:pPr>
    <w:rPr>
      <w:rFonts w:ascii="Arial" w:hAnsi="Arial" w:eastAsia="仿宋"/>
      <w:b/>
      <w:bCs/>
      <w:sz w:val="32"/>
      <w:szCs w:val="32"/>
    </w:rPr>
  </w:style>
  <w:style w:type="paragraph" w:styleId="5">
    <w:name w:val="heading 3"/>
    <w:basedOn w:val="1"/>
    <w:next w:val="1"/>
    <w:link w:val="112"/>
    <w:qFormat/>
    <w:uiPriority w:val="0"/>
    <w:pPr>
      <w:keepNext/>
      <w:keepLines/>
      <w:spacing w:before="120" w:after="120"/>
      <w:jc w:val="center"/>
      <w:outlineLvl w:val="2"/>
    </w:pPr>
    <w:rPr>
      <w:rFonts w:eastAsia="仿宋"/>
      <w:b/>
      <w:bCs/>
      <w:sz w:val="24"/>
      <w:szCs w:val="32"/>
    </w:rPr>
  </w:style>
  <w:style w:type="paragraph" w:styleId="2">
    <w:name w:val="heading 4"/>
    <w:basedOn w:val="1"/>
    <w:next w:val="1"/>
    <w:link w:val="109"/>
    <w:qFormat/>
    <w:uiPriority w:val="0"/>
    <w:pPr>
      <w:keepNext/>
      <w:keepLines/>
      <w:numPr>
        <w:ilvl w:val="0"/>
        <w:numId w:val="2"/>
      </w:numPr>
      <w:spacing w:after="50" w:afterLines="50"/>
      <w:jc w:val="left"/>
      <w:outlineLvl w:val="3"/>
    </w:pPr>
    <w:rPr>
      <w:rFonts w:ascii="Arial" w:hAnsi="Arial" w:eastAsia="仿宋"/>
      <w:bCs/>
      <w:sz w:val="28"/>
      <w:szCs w:val="28"/>
    </w:rPr>
  </w:style>
  <w:style w:type="paragraph" w:styleId="6">
    <w:name w:val="heading 5"/>
    <w:basedOn w:val="1"/>
    <w:next w:val="1"/>
    <w:qFormat/>
    <w:uiPriority w:val="0"/>
    <w:pPr>
      <w:keepNext/>
      <w:keepLines/>
      <w:spacing w:before="280" w:after="290" w:line="377" w:lineRule="auto"/>
      <w:jc w:val="center"/>
      <w:outlineLvl w:val="4"/>
    </w:pPr>
    <w:rPr>
      <w:rFonts w:eastAsia="仿宋"/>
      <w:bCs/>
      <w:sz w:val="32"/>
      <w:szCs w:val="28"/>
    </w:rPr>
  </w:style>
  <w:style w:type="paragraph" w:styleId="7">
    <w:name w:val="heading 6"/>
    <w:basedOn w:val="1"/>
    <w:next w:val="1"/>
    <w:qFormat/>
    <w:uiPriority w:val="0"/>
    <w:pPr>
      <w:widowControl/>
      <w:suppressLineNumbers/>
      <w:adjustRightInd w:val="0"/>
      <w:spacing w:line="460" w:lineRule="atLeast"/>
      <w:ind w:firstLine="510"/>
      <w:textAlignment w:val="baseline"/>
      <w:outlineLvl w:val="5"/>
    </w:pPr>
    <w:rPr>
      <w:kern w:val="0"/>
      <w:sz w:val="26"/>
    </w:rPr>
  </w:style>
  <w:style w:type="paragraph" w:styleId="8">
    <w:name w:val="heading 7"/>
    <w:basedOn w:val="1"/>
    <w:next w:val="1"/>
    <w:qFormat/>
    <w:uiPriority w:val="0"/>
    <w:pPr>
      <w:keepNext/>
      <w:keepLines/>
      <w:suppressLineNumbers/>
      <w:adjustRightInd w:val="0"/>
      <w:spacing w:line="460" w:lineRule="atLeast"/>
      <w:ind w:firstLine="567"/>
      <w:textAlignment w:val="baseline"/>
      <w:outlineLvl w:val="6"/>
    </w:pPr>
    <w:rPr>
      <w:kern w:val="0"/>
      <w:sz w:val="26"/>
    </w:rPr>
  </w:style>
  <w:style w:type="paragraph" w:styleId="9">
    <w:name w:val="heading 8"/>
    <w:basedOn w:val="1"/>
    <w:next w:val="10"/>
    <w:qFormat/>
    <w:uiPriority w:val="0"/>
    <w:pPr>
      <w:suppressLineNumbers/>
      <w:adjustRightInd w:val="0"/>
      <w:spacing w:line="460" w:lineRule="atLeast"/>
      <w:ind w:firstLine="567"/>
      <w:textAlignment w:val="baseline"/>
      <w:outlineLvl w:val="7"/>
    </w:pPr>
    <w:rPr>
      <w:kern w:val="0"/>
      <w:sz w:val="26"/>
    </w:rPr>
  </w:style>
  <w:style w:type="paragraph" w:styleId="11">
    <w:name w:val="heading 9"/>
    <w:basedOn w:val="1"/>
    <w:next w:val="10"/>
    <w:qFormat/>
    <w:uiPriority w:val="0"/>
    <w:pPr>
      <w:keepNext/>
      <w:suppressLineNumbers/>
      <w:adjustRightInd w:val="0"/>
      <w:spacing w:line="360" w:lineRule="atLeast"/>
      <w:jc w:val="right"/>
      <w:textAlignment w:val="baseline"/>
      <w:outlineLvl w:val="8"/>
    </w:pPr>
    <w:rPr>
      <w:kern w:val="0"/>
      <w:sz w:val="33"/>
    </w:rPr>
  </w:style>
  <w:style w:type="character" w:default="1" w:styleId="45">
    <w:name w:val="Default Paragraph Font"/>
    <w:semiHidden/>
    <w:qFormat/>
    <w:uiPriority w:val="0"/>
  </w:style>
  <w:style w:type="table" w:default="1" w:styleId="4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10">
    <w:name w:val="Normal Indent"/>
    <w:basedOn w:val="1"/>
    <w:qFormat/>
    <w:uiPriority w:val="0"/>
    <w:pPr>
      <w:ind w:firstLine="42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qFormat/>
    <w:uiPriority w:val="39"/>
    <w:pPr>
      <w:ind w:left="2520" w:leftChars="1200"/>
    </w:pPr>
  </w:style>
  <w:style w:type="paragraph" w:styleId="14">
    <w:name w:val="caption"/>
    <w:basedOn w:val="1"/>
    <w:next w:val="1"/>
    <w:qFormat/>
    <w:uiPriority w:val="0"/>
    <w:pPr>
      <w:spacing w:line="480" w:lineRule="auto"/>
    </w:pPr>
    <w:rPr>
      <w:rFonts w:ascii="华文中宋" w:hAnsi="华文中宋" w:eastAsia="华文中宋"/>
      <w:sz w:val="36"/>
    </w:rPr>
  </w:style>
  <w:style w:type="paragraph" w:styleId="15">
    <w:name w:val="Document Map"/>
    <w:basedOn w:val="1"/>
    <w:semiHidden/>
    <w:qFormat/>
    <w:uiPriority w:val="0"/>
    <w:pPr>
      <w:shd w:val="clear" w:color="auto" w:fill="000080"/>
    </w:pPr>
  </w:style>
  <w:style w:type="paragraph" w:styleId="16">
    <w:name w:val="annotation text"/>
    <w:basedOn w:val="1"/>
    <w:link w:val="113"/>
    <w:qFormat/>
    <w:uiPriority w:val="0"/>
    <w:pPr>
      <w:jc w:val="left"/>
    </w:pPr>
  </w:style>
  <w:style w:type="paragraph" w:styleId="17">
    <w:name w:val="Salutation"/>
    <w:basedOn w:val="1"/>
    <w:next w:val="1"/>
    <w:qFormat/>
    <w:uiPriority w:val="0"/>
    <w:rPr>
      <w:szCs w:val="24"/>
    </w:rPr>
  </w:style>
  <w:style w:type="paragraph" w:styleId="18">
    <w:name w:val="Body Text 3"/>
    <w:basedOn w:val="1"/>
    <w:qFormat/>
    <w:uiPriority w:val="0"/>
    <w:pPr>
      <w:jc w:val="center"/>
    </w:pPr>
    <w:rPr>
      <w:rFonts w:eastAsia="仿宋_GB2312"/>
      <w:b/>
      <w:bCs/>
      <w:sz w:val="28"/>
      <w:szCs w:val="24"/>
    </w:rPr>
  </w:style>
  <w:style w:type="paragraph" w:styleId="19">
    <w:name w:val="Body Text"/>
    <w:basedOn w:val="1"/>
    <w:qFormat/>
    <w:uiPriority w:val="0"/>
    <w:pPr>
      <w:spacing w:line="360" w:lineRule="auto"/>
    </w:pPr>
    <w:rPr>
      <w:sz w:val="24"/>
    </w:rPr>
  </w:style>
  <w:style w:type="paragraph" w:styleId="20">
    <w:name w:val="Body Text Indent"/>
    <w:basedOn w:val="1"/>
    <w:next w:val="21"/>
    <w:link w:val="114"/>
    <w:qFormat/>
    <w:uiPriority w:val="0"/>
    <w:pPr>
      <w:ind w:firstLine="444"/>
    </w:pPr>
    <w:rPr>
      <w:b/>
      <w:sz w:val="24"/>
    </w:rPr>
  </w:style>
  <w:style w:type="paragraph" w:styleId="21">
    <w:name w:val="annotation subject"/>
    <w:basedOn w:val="16"/>
    <w:next w:val="16"/>
    <w:semiHidden/>
    <w:qFormat/>
    <w:uiPriority w:val="0"/>
    <w:rPr>
      <w:b/>
      <w:bCs/>
    </w:rPr>
  </w:style>
  <w:style w:type="paragraph" w:styleId="22">
    <w:name w:val="toc 5"/>
    <w:basedOn w:val="1"/>
    <w:next w:val="1"/>
    <w:qFormat/>
    <w:uiPriority w:val="39"/>
    <w:pPr>
      <w:ind w:left="1680" w:leftChars="800"/>
    </w:pPr>
  </w:style>
  <w:style w:type="paragraph" w:styleId="23">
    <w:name w:val="toc 3"/>
    <w:basedOn w:val="1"/>
    <w:next w:val="1"/>
    <w:qFormat/>
    <w:uiPriority w:val="39"/>
    <w:rPr>
      <w:rFonts w:eastAsia="黑体"/>
    </w:rPr>
  </w:style>
  <w:style w:type="paragraph" w:styleId="24">
    <w:name w:val="Plain Text"/>
    <w:basedOn w:val="1"/>
    <w:link w:val="115"/>
    <w:qFormat/>
    <w:uiPriority w:val="0"/>
    <w:rPr>
      <w:rFonts w:ascii="宋体" w:hAnsi="Courier New"/>
    </w:rPr>
  </w:style>
  <w:style w:type="paragraph" w:styleId="25">
    <w:name w:val="toc 8"/>
    <w:basedOn w:val="1"/>
    <w:next w:val="1"/>
    <w:qFormat/>
    <w:uiPriority w:val="39"/>
    <w:pPr>
      <w:ind w:left="2940" w:leftChars="1400"/>
    </w:pPr>
  </w:style>
  <w:style w:type="paragraph" w:styleId="26">
    <w:name w:val="Date"/>
    <w:basedOn w:val="1"/>
    <w:next w:val="1"/>
    <w:link w:val="116"/>
    <w:qFormat/>
    <w:uiPriority w:val="99"/>
  </w:style>
  <w:style w:type="paragraph" w:styleId="27">
    <w:name w:val="Body Text Indent 2"/>
    <w:basedOn w:val="1"/>
    <w:qFormat/>
    <w:uiPriority w:val="0"/>
    <w:pPr>
      <w:adjustRightInd w:val="0"/>
      <w:spacing w:line="360" w:lineRule="auto"/>
      <w:ind w:firstLine="420" w:firstLineChars="175"/>
    </w:pPr>
    <w:rPr>
      <w:rFonts w:ascii="宋体" w:hAnsi="宋体"/>
      <w:b/>
      <w:bCs/>
      <w:sz w:val="24"/>
    </w:rPr>
  </w:style>
  <w:style w:type="paragraph" w:styleId="28">
    <w:name w:val="Balloon Text"/>
    <w:basedOn w:val="1"/>
    <w:link w:val="117"/>
    <w:semiHidden/>
    <w:qFormat/>
    <w:uiPriority w:val="99"/>
    <w:rPr>
      <w:sz w:val="18"/>
      <w:szCs w:val="18"/>
    </w:rPr>
  </w:style>
  <w:style w:type="paragraph" w:styleId="29">
    <w:name w:val="footer"/>
    <w:basedOn w:val="1"/>
    <w:link w:val="118"/>
    <w:qFormat/>
    <w:uiPriority w:val="99"/>
    <w:pPr>
      <w:tabs>
        <w:tab w:val="center" w:pos="4153"/>
        <w:tab w:val="right" w:pos="8306"/>
      </w:tabs>
      <w:snapToGrid w:val="0"/>
      <w:jc w:val="left"/>
    </w:pPr>
    <w:rPr>
      <w:sz w:val="18"/>
    </w:rPr>
  </w:style>
  <w:style w:type="paragraph" w:styleId="30">
    <w:name w:val="header"/>
    <w:basedOn w:val="1"/>
    <w:link w:val="119"/>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pPr>
      <w:tabs>
        <w:tab w:val="right" w:leader="dot" w:pos="8834"/>
      </w:tabs>
    </w:pPr>
    <w:rPr>
      <w:rFonts w:eastAsia="黑体"/>
      <w:bCs/>
      <w:color w:val="000000"/>
    </w:rPr>
  </w:style>
  <w:style w:type="paragraph" w:styleId="32">
    <w:name w:val="toc 4"/>
    <w:basedOn w:val="1"/>
    <w:next w:val="1"/>
    <w:qFormat/>
    <w:uiPriority w:val="39"/>
    <w:pPr>
      <w:ind w:left="1260" w:leftChars="600"/>
    </w:pPr>
  </w:style>
  <w:style w:type="paragraph" w:styleId="33">
    <w:name w:val="footnote text"/>
    <w:basedOn w:val="1"/>
    <w:qFormat/>
    <w:uiPriority w:val="0"/>
    <w:pPr>
      <w:snapToGrid w:val="0"/>
      <w:jc w:val="left"/>
    </w:pPr>
    <w:rPr>
      <w:sz w:val="18"/>
      <w:szCs w:val="18"/>
    </w:rPr>
  </w:style>
  <w:style w:type="paragraph" w:styleId="34">
    <w:name w:val="toc 6"/>
    <w:basedOn w:val="1"/>
    <w:next w:val="1"/>
    <w:qFormat/>
    <w:uiPriority w:val="39"/>
    <w:pPr>
      <w:ind w:left="2100" w:leftChars="1000"/>
    </w:pPr>
  </w:style>
  <w:style w:type="paragraph" w:styleId="35">
    <w:name w:val="Body Text Indent 3"/>
    <w:basedOn w:val="1"/>
    <w:qFormat/>
    <w:uiPriority w:val="0"/>
    <w:pPr>
      <w:spacing w:after="156" w:afterLines="50"/>
      <w:ind w:firstLine="420" w:firstLineChars="200"/>
    </w:pPr>
    <w:rPr>
      <w:szCs w:val="21"/>
    </w:rPr>
  </w:style>
  <w:style w:type="paragraph" w:styleId="36">
    <w:name w:val="toc 2"/>
    <w:basedOn w:val="1"/>
    <w:next w:val="1"/>
    <w:qFormat/>
    <w:uiPriority w:val="39"/>
    <w:pPr>
      <w:tabs>
        <w:tab w:val="right" w:leader="dot" w:pos="8834"/>
      </w:tabs>
      <w:ind w:left="299" w:leftChars="1" w:hanging="298" w:hangingChars="298"/>
    </w:pPr>
    <w:rPr>
      <w:rFonts w:ascii="仿宋_GB2312" w:hAnsi="Albertus Medium" w:eastAsia="黑体"/>
      <w:szCs w:val="24"/>
    </w:rPr>
  </w:style>
  <w:style w:type="paragraph" w:styleId="37">
    <w:name w:val="toc 9"/>
    <w:basedOn w:val="1"/>
    <w:next w:val="1"/>
    <w:qFormat/>
    <w:uiPriority w:val="39"/>
    <w:pPr>
      <w:ind w:left="3360" w:leftChars="1600"/>
    </w:pPr>
  </w:style>
  <w:style w:type="paragraph" w:styleId="38">
    <w:name w:val="Body Text 2"/>
    <w:basedOn w:val="1"/>
    <w:qFormat/>
    <w:uiPriority w:val="0"/>
    <w:pPr>
      <w:jc w:val="left"/>
    </w:pPr>
    <w:rPr>
      <w:rFonts w:ascii="仿宋_GB2312" w:hAnsi="宋体"/>
    </w:rPr>
  </w:style>
  <w:style w:type="paragraph" w:styleId="3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0">
    <w:name w:val="Title"/>
    <w:basedOn w:val="1"/>
    <w:next w:val="1"/>
    <w:link w:val="120"/>
    <w:qFormat/>
    <w:uiPriority w:val="0"/>
    <w:pPr>
      <w:spacing w:before="240" w:after="60"/>
      <w:jc w:val="center"/>
      <w:outlineLvl w:val="0"/>
    </w:pPr>
    <w:rPr>
      <w:rFonts w:ascii="Cambria" w:hAnsi="Cambria" w:eastAsia="仿宋"/>
      <w:b/>
      <w:bCs/>
      <w:sz w:val="44"/>
      <w:szCs w:val="32"/>
    </w:rPr>
  </w:style>
  <w:style w:type="paragraph" w:styleId="41">
    <w:name w:val="Body Text First Indent 2"/>
    <w:basedOn w:val="20"/>
    <w:next w:val="1"/>
    <w:qFormat/>
    <w:uiPriority w:val="0"/>
    <w:pPr>
      <w:spacing w:after="120"/>
      <w:ind w:left="420" w:leftChars="200" w:firstLine="420"/>
    </w:pPr>
    <w:rPr>
      <w:rFonts w:eastAsia="宋体"/>
      <w:sz w:val="21"/>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Colorful 2"/>
    <w:basedOn w:val="42"/>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99"/>
    <w:rPr>
      <w:color w:val="0000FF"/>
      <w:u w:val="singl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paragraph" w:customStyle="1" w:styleId="53">
    <w:name w:val="表头"/>
    <w:basedOn w:val="1"/>
    <w:link w:val="127"/>
    <w:qFormat/>
    <w:uiPriority w:val="0"/>
    <w:pPr>
      <w:topLinePunct/>
      <w:spacing w:before="160" w:after="60"/>
      <w:jc w:val="center"/>
    </w:pPr>
    <w:rPr>
      <w:rFonts w:ascii="黑体" w:hAnsi="Monotype Corsiva" w:eastAsia="黑体"/>
      <w:b/>
      <w:snapToGrid w:val="0"/>
      <w:kern w:val="0"/>
      <w:szCs w:val="24"/>
    </w:rPr>
  </w:style>
  <w:style w:type="paragraph" w:customStyle="1" w:styleId="54">
    <w:name w:val="Table Text"/>
    <w:link w:val="129"/>
    <w:qFormat/>
    <w:uiPriority w:val="0"/>
    <w:pPr>
      <w:snapToGrid w:val="0"/>
      <w:spacing w:before="80" w:after="80"/>
    </w:pPr>
    <w:rPr>
      <w:rFonts w:ascii="Arial" w:hAnsi="Arial" w:eastAsia="宋体" w:cs="Times New Roman"/>
      <w:sz w:val="18"/>
      <w:lang w:val="en-US" w:eastAsia="en-US" w:bidi="ar-SA"/>
    </w:rPr>
  </w:style>
  <w:style w:type="paragraph" w:customStyle="1" w:styleId="55">
    <w:name w:val="项目编号A"/>
    <w:basedOn w:val="1"/>
    <w:link w:val="137"/>
    <w:qFormat/>
    <w:uiPriority w:val="0"/>
    <w:pPr>
      <w:spacing w:line="360" w:lineRule="auto"/>
      <w:ind w:left="959" w:firstLine="1430" w:firstLineChars="550"/>
      <w:jc w:val="center"/>
    </w:pPr>
    <w:rPr>
      <w:rFonts w:ascii="Arial" w:hAnsi="宋体"/>
      <w:snapToGrid w:val="0"/>
      <w:spacing w:val="10"/>
      <w:sz w:val="24"/>
      <w:szCs w:val="24"/>
    </w:rPr>
  </w:style>
  <w:style w:type="paragraph" w:customStyle="1" w:styleId="56">
    <w:name w:val=" Char Char Char2 Char Char Char Char Char Char Char"/>
    <w:basedOn w:val="1"/>
    <w:qFormat/>
    <w:uiPriority w:val="0"/>
    <w:pPr>
      <w:adjustRightInd w:val="0"/>
      <w:spacing w:line="360" w:lineRule="auto"/>
    </w:pPr>
    <w:rPr>
      <w:kern w:val="0"/>
      <w:sz w:val="24"/>
    </w:rPr>
  </w:style>
  <w:style w:type="paragraph" w:customStyle="1" w:styleId="57">
    <w:name w:val="Table Paragraph"/>
    <w:basedOn w:val="1"/>
    <w:qFormat/>
    <w:uiPriority w:val="1"/>
    <w:rPr>
      <w:rFonts w:ascii="宋体" w:hAnsi="宋体" w:cs="宋体"/>
      <w:szCs w:val="24"/>
      <w:lang w:val="zh-CN" w:bidi="zh-CN"/>
    </w:rPr>
  </w:style>
  <w:style w:type="paragraph" w:customStyle="1" w:styleId="58">
    <w:name w:val="样式 宋体 左侧:  0 厘米 悬挂缩进: 1.92 字符"/>
    <w:basedOn w:val="1"/>
    <w:qFormat/>
    <w:uiPriority w:val="0"/>
    <w:pPr>
      <w:spacing w:line="480" w:lineRule="exact"/>
      <w:ind w:left="403" w:hanging="403" w:hangingChars="192"/>
    </w:pPr>
    <w:rPr>
      <w:rFonts w:ascii="宋体" w:hAnsi="宋体"/>
      <w:sz w:val="24"/>
    </w:rPr>
  </w:style>
  <w:style w:type="paragraph" w:customStyle="1" w:styleId="59">
    <w:name w:val="样式 宋体 左侧:  0 厘米 悬挂缩进: 1.92 字符1"/>
    <w:basedOn w:val="1"/>
    <w:qFormat/>
    <w:uiPriority w:val="0"/>
    <w:pPr>
      <w:spacing w:line="480" w:lineRule="exact"/>
      <w:ind w:left="403" w:hanging="403" w:hangingChars="192"/>
    </w:pPr>
    <w:rPr>
      <w:rFonts w:ascii="宋体" w:hAnsi="宋体"/>
      <w:sz w:val="24"/>
    </w:rPr>
  </w:style>
  <w:style w:type="paragraph" w:customStyle="1" w:styleId="60">
    <w:name w:val="Char Char Char Char1"/>
    <w:basedOn w:val="1"/>
    <w:qFormat/>
    <w:uiPriority w:val="0"/>
    <w:pPr>
      <w:ind w:firstLine="540" w:firstLineChars="225"/>
    </w:pPr>
    <w:rPr>
      <w:rFonts w:ascii="宋体" w:hAnsi="宋体"/>
      <w:i/>
      <w:sz w:val="24"/>
      <w:szCs w:val="24"/>
    </w:rPr>
  </w:style>
  <w:style w:type="paragraph" w:customStyle="1" w:styleId="61">
    <w:name w:val=" Char3"/>
    <w:basedOn w:val="1"/>
    <w:qFormat/>
    <w:uiPriority w:val="0"/>
    <w:rPr>
      <w:rFonts w:ascii="宋体" w:hAnsi="宋体"/>
      <w:b/>
      <w:color w:val="000000"/>
      <w:sz w:val="24"/>
      <w:szCs w:val="24"/>
    </w:rPr>
  </w:style>
  <w:style w:type="paragraph" w:customStyle="1" w:styleId="62">
    <w:name w:val="*正文"/>
    <w:basedOn w:val="1"/>
    <w:qFormat/>
    <w:uiPriority w:val="0"/>
    <w:pPr>
      <w:widowControl/>
      <w:spacing w:line="360" w:lineRule="auto"/>
      <w:ind w:firstLine="200" w:firstLineChars="200"/>
      <w:jc w:val="left"/>
    </w:pPr>
    <w:rPr>
      <w:rFonts w:ascii="仿宋" w:eastAsia="仿宋"/>
      <w:sz w:val="24"/>
      <w:szCs w:val="28"/>
    </w:rPr>
  </w:style>
  <w:style w:type="paragraph" w:customStyle="1" w:styleId="63">
    <w:name w:val="正文2"/>
    <w:basedOn w:val="1"/>
    <w:qFormat/>
    <w:uiPriority w:val="0"/>
    <w:pPr>
      <w:spacing w:before="156" w:line="360" w:lineRule="auto"/>
      <w:ind w:firstLine="510" w:firstLineChars="200"/>
    </w:pPr>
    <w:rPr>
      <w:sz w:val="24"/>
      <w:szCs w:val="20"/>
    </w:rPr>
  </w:style>
  <w:style w:type="paragraph" w:customStyle="1" w:styleId="64">
    <w:name w:val="报告正文"/>
    <w:basedOn w:val="1"/>
    <w:qFormat/>
    <w:uiPriority w:val="0"/>
    <w:pPr>
      <w:spacing w:line="360" w:lineRule="auto"/>
      <w:ind w:firstLine="503" w:firstLineChars="200"/>
    </w:pPr>
    <w:rPr>
      <w:rFonts w:ascii="宋体"/>
      <w:b/>
      <w:sz w:val="24"/>
      <w:szCs w:val="18"/>
    </w:rPr>
  </w:style>
  <w:style w:type="paragraph" w:customStyle="1" w:styleId="65">
    <w:name w:val="_标准条文"/>
    <w:basedOn w:val="1"/>
    <w:qFormat/>
    <w:uiPriority w:val="0"/>
    <w:pPr>
      <w:overflowPunct w:val="0"/>
      <w:snapToGrid w:val="0"/>
      <w:spacing w:line="276" w:lineRule="auto"/>
      <w:ind w:firstLine="420" w:firstLineChars="200"/>
    </w:pPr>
    <w:rPr>
      <w:rFonts w:ascii="Arial" w:hAnsi="Arial" w:cs="宋体"/>
    </w:rPr>
  </w:style>
  <w:style w:type="paragraph" w:customStyle="1" w:styleId="66">
    <w:name w:val="Char Char Char Char"/>
    <w:basedOn w:val="1"/>
    <w:qFormat/>
    <w:uiPriority w:val="0"/>
    <w:rPr>
      <w:szCs w:val="24"/>
    </w:rPr>
  </w:style>
  <w:style w:type="paragraph" w:customStyle="1" w:styleId="67">
    <w:name w:val="正文缩进1"/>
    <w:basedOn w:val="1"/>
    <w:next w:val="1"/>
    <w:qFormat/>
    <w:uiPriority w:val="0"/>
    <w:pPr>
      <w:spacing w:before="40" w:after="40" w:line="400" w:lineRule="exact"/>
      <w:ind w:firstLine="510"/>
    </w:pPr>
    <w:rPr>
      <w:sz w:val="28"/>
    </w:rPr>
  </w:style>
  <w:style w:type="paragraph" w:customStyle="1" w:styleId="68">
    <w:name w:val="p0"/>
    <w:basedOn w:val="1"/>
    <w:qFormat/>
    <w:uiPriority w:val="0"/>
    <w:pPr>
      <w:widowControl/>
    </w:pPr>
    <w:rPr>
      <w:kern w:val="0"/>
      <w:szCs w:val="21"/>
    </w:rPr>
  </w:style>
  <w:style w:type="paragraph" w:customStyle="1" w:styleId="69">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70">
    <w:name w:val=" 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cs="Arial"/>
      <w:sz w:val="20"/>
    </w:rPr>
  </w:style>
  <w:style w:type="paragraph" w:customStyle="1" w:styleId="71">
    <w:name w:val="Char"/>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72">
    <w:name w:val="表格"/>
    <w:basedOn w:val="1"/>
    <w:qFormat/>
    <w:uiPriority w:val="0"/>
    <w:pPr>
      <w:autoSpaceDE w:val="0"/>
      <w:autoSpaceDN w:val="0"/>
      <w:adjustRightInd w:val="0"/>
      <w:spacing w:line="420" w:lineRule="exact"/>
      <w:jc w:val="center"/>
      <w:textAlignment w:val="baseline"/>
    </w:pPr>
    <w:rPr>
      <w:kern w:val="32"/>
      <w:sz w:val="24"/>
    </w:rPr>
  </w:style>
  <w:style w:type="paragraph" w:customStyle="1" w:styleId="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74">
    <w:name w:val="缺省文本"/>
    <w:basedOn w:val="1"/>
    <w:qFormat/>
    <w:uiPriority w:val="0"/>
    <w:pPr>
      <w:autoSpaceDE w:val="0"/>
      <w:autoSpaceDN w:val="0"/>
      <w:adjustRightInd w:val="0"/>
      <w:jc w:val="left"/>
    </w:pPr>
    <w:rPr>
      <w:kern w:val="0"/>
      <w:sz w:val="24"/>
      <w:szCs w:val="24"/>
    </w:rPr>
  </w:style>
  <w:style w:type="paragraph" w:customStyle="1" w:styleId="75">
    <w:name w:val="font9"/>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76">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77">
    <w:name w:val="样式1"/>
    <w:basedOn w:val="3"/>
    <w:qFormat/>
    <w:uiPriority w:val="0"/>
    <w:pPr>
      <w:jc w:val="center"/>
    </w:pPr>
    <w:rPr>
      <w:rFonts w:eastAsia="黑体"/>
    </w:rPr>
  </w:style>
  <w:style w:type="paragraph" w:customStyle="1" w:styleId="78">
    <w:name w:val="段"/>
    <w:qFormat/>
    <w:uiPriority w:val="0"/>
    <w:pPr>
      <w:ind w:firstLine="200" w:firstLineChars="200"/>
      <w:jc w:val="both"/>
    </w:pPr>
    <w:rPr>
      <w:rFonts w:ascii="Times New Roman" w:hAnsi="Times New Roman" w:eastAsia="宋体" w:cs="Times New Roman"/>
      <w:sz w:val="21"/>
      <w:szCs w:val="21"/>
      <w:lang w:val="en-US" w:eastAsia="zh-CN" w:bidi="ar-SA"/>
    </w:rPr>
  </w:style>
  <w:style w:type="paragraph" w:styleId="79">
    <w:name w:val="List Paragraph"/>
    <w:basedOn w:val="1"/>
    <w:qFormat/>
    <w:uiPriority w:val="34"/>
    <w:pPr>
      <w:ind w:firstLine="420" w:firstLineChars="200"/>
    </w:pPr>
    <w:rPr>
      <w:rFonts w:cs="Times New Roman"/>
    </w:rPr>
  </w:style>
  <w:style w:type="paragraph" w:customStyle="1" w:styleId="80">
    <w:name w:val="标准正文"/>
    <w:basedOn w:val="1"/>
    <w:qFormat/>
    <w:uiPriority w:val="0"/>
    <w:pPr>
      <w:snapToGrid w:val="0"/>
      <w:spacing w:after="156" w:afterLines="50" w:line="360" w:lineRule="auto"/>
      <w:ind w:firstLine="480" w:firstLineChars="200"/>
    </w:pPr>
    <w:rPr>
      <w:sz w:val="24"/>
    </w:rPr>
  </w:style>
  <w:style w:type="paragraph" w:customStyle="1" w:styleId="81">
    <w:name w:val="首行缩进"/>
    <w:basedOn w:val="1"/>
    <w:qFormat/>
    <w:uiPriority w:val="0"/>
    <w:pPr>
      <w:ind w:firstLine="480"/>
    </w:pPr>
    <w:rPr>
      <w:spacing w:val="10"/>
      <w:lang w:val="zh-CN"/>
    </w:rPr>
  </w:style>
  <w:style w:type="paragraph" w:customStyle="1" w:styleId="82">
    <w:name w:val="标题 3 + 小四 段前: 0 磅 段后: 0 磅 行距: 1.5 倍行距"/>
    <w:basedOn w:val="5"/>
    <w:next w:val="5"/>
    <w:qFormat/>
    <w:uiPriority w:val="0"/>
    <w:pPr>
      <w:spacing w:before="0" w:after="0" w:line="360" w:lineRule="auto"/>
    </w:pPr>
    <w:rPr>
      <w:rFonts w:cs="宋体"/>
      <w:sz w:val="24"/>
      <w:szCs w:val="20"/>
    </w:rPr>
  </w:style>
  <w:style w:type="paragraph" w:customStyle="1" w:styleId="83">
    <w:name w:val="xl23"/>
    <w:basedOn w:val="1"/>
    <w:qFormat/>
    <w:uiPriority w:val="0"/>
    <w:pPr>
      <w:widowControl/>
      <w:spacing w:before="100" w:beforeAutospacing="1" w:after="100" w:afterAutospacing="1" w:line="360" w:lineRule="auto"/>
      <w:textAlignment w:val="top"/>
    </w:pPr>
    <w:rPr>
      <w:kern w:val="0"/>
      <w:sz w:val="24"/>
      <w:szCs w:val="24"/>
    </w:rPr>
  </w:style>
  <w:style w:type="paragraph" w:customStyle="1" w:styleId="84">
    <w:name w:val=" Char Char Char Char"/>
    <w:basedOn w:val="1"/>
    <w:qFormat/>
    <w:uiPriority w:val="0"/>
    <w:rPr>
      <w:szCs w:val="24"/>
    </w:rPr>
  </w:style>
  <w:style w:type="paragraph" w:customStyle="1" w:styleId="85">
    <w:name w:val="xl28"/>
    <w:basedOn w:val="1"/>
    <w:qFormat/>
    <w:uiPriority w:val="0"/>
    <w:pPr>
      <w:widowControl/>
      <w:pBdr>
        <w:bottom w:val="single" w:color="auto" w:sz="4" w:space="0"/>
      </w:pBdr>
      <w:spacing w:before="100" w:beforeAutospacing="1" w:after="100" w:afterAutospacing="1"/>
      <w:jc w:val="center"/>
    </w:pPr>
    <w:rPr>
      <w:rFonts w:ascii="宋体" w:hAnsi="宋体"/>
      <w:b/>
      <w:bCs/>
      <w:kern w:val="0"/>
      <w:sz w:val="24"/>
      <w:szCs w:val="24"/>
    </w:rPr>
  </w:style>
  <w:style w:type="paragraph" w:customStyle="1" w:styleId="86">
    <w:name w:val="font7"/>
    <w:basedOn w:val="1"/>
    <w:qFormat/>
    <w:uiPriority w:val="0"/>
    <w:pPr>
      <w:widowControl/>
      <w:spacing w:before="100" w:beforeAutospacing="1" w:after="100" w:afterAutospacing="1"/>
      <w:jc w:val="left"/>
    </w:pPr>
    <w:rPr>
      <w:kern w:val="0"/>
      <w:sz w:val="20"/>
    </w:rPr>
  </w:style>
  <w:style w:type="paragraph" w:customStyle="1" w:styleId="87">
    <w:name w:val="默认段落字体 Para Char Char Char Char Char"/>
    <w:basedOn w:val="1"/>
    <w:qFormat/>
    <w:uiPriority w:val="0"/>
    <w:rPr>
      <w:rFonts w:ascii="宋体" w:hAnsi="宋体"/>
      <w:b/>
      <w:color w:val="000000"/>
      <w:sz w:val="24"/>
      <w:szCs w:val="24"/>
    </w:rPr>
  </w:style>
  <w:style w:type="paragraph" w:customStyle="1" w:styleId="88">
    <w:name w:val="日期 Char Char"/>
    <w:basedOn w:val="1"/>
    <w:next w:val="1"/>
    <w:qFormat/>
    <w:uiPriority w:val="0"/>
    <w:pPr>
      <w:spacing w:line="408" w:lineRule="auto"/>
      <w:ind w:left="1"/>
      <w:textAlignment w:val="bottom"/>
    </w:pPr>
    <w:rPr>
      <w:rFonts w:eastAsia="仿宋_GB2312"/>
      <w:color w:val="000000"/>
      <w:spacing w:val="11"/>
      <w:kern w:val="0"/>
      <w:sz w:val="28"/>
    </w:rPr>
  </w:style>
  <w:style w:type="paragraph" w:customStyle="1" w:styleId="89">
    <w:name w:val="1"/>
    <w:basedOn w:val="1"/>
    <w:qFormat/>
    <w:uiPriority w:val="0"/>
    <w:pPr>
      <w:spacing w:after="156" w:afterLines="50" w:line="360" w:lineRule="auto"/>
      <w:ind w:firstLine="3243" w:firstLineChars="1080"/>
    </w:pPr>
    <w:rPr>
      <w:rFonts w:ascii="宋体" w:hAnsi="宋体"/>
      <w:b/>
      <w:sz w:val="30"/>
      <w:szCs w:val="21"/>
    </w:rPr>
  </w:style>
  <w:style w:type="paragraph" w:customStyle="1" w:styleId="90">
    <w:name w:val="样式 标题 2 + 段前: 0.5 行 段后: 0.5 行"/>
    <w:basedOn w:val="4"/>
    <w:qFormat/>
    <w:uiPriority w:val="0"/>
    <w:pPr>
      <w:adjustRightInd w:val="0"/>
      <w:spacing w:before="156" w:beforeLines="50" w:after="156" w:afterLines="50" w:line="240" w:lineRule="auto"/>
      <w:ind w:firstLine="200" w:firstLineChars="200"/>
      <w:jc w:val="left"/>
      <w:textAlignment w:val="baseline"/>
    </w:pPr>
    <w:rPr>
      <w:rFonts w:ascii="Times New Roman" w:hAnsi="Times New Roman"/>
      <w:b w:val="0"/>
      <w:kern w:val="0"/>
      <w:sz w:val="21"/>
      <w:szCs w:val="21"/>
    </w:rPr>
  </w:style>
  <w:style w:type="paragraph" w:customStyle="1" w:styleId="91">
    <w:name w:val="样式 标题 1 + 首行缩进:  2 字符 段前: 1 行 段后: 1 行"/>
    <w:basedOn w:val="3"/>
    <w:qFormat/>
    <w:uiPriority w:val="0"/>
    <w:pPr>
      <w:spacing w:before="100" w:beforeLines="100" w:after="100" w:afterLines="100" w:line="240" w:lineRule="auto"/>
    </w:pPr>
    <w:rPr>
      <w:rFonts w:eastAsia="黑体"/>
      <w:b w:val="0"/>
      <w:bCs w:val="0"/>
      <w:sz w:val="28"/>
      <w:szCs w:val="20"/>
    </w:rPr>
  </w:style>
  <w:style w:type="paragraph" w:customStyle="1" w:styleId="92">
    <w:name w:val="正文1"/>
    <w:qFormat/>
    <w:uiPriority w:val="0"/>
    <w:pPr>
      <w:jc w:val="both"/>
    </w:pPr>
    <w:rPr>
      <w:rFonts w:ascii="Calibri" w:hAnsi="Calibri" w:eastAsia="宋体" w:cs="宋体"/>
      <w:kern w:val="2"/>
      <w:sz w:val="21"/>
      <w:szCs w:val="21"/>
      <w:lang w:val="en-US" w:eastAsia="zh-CN" w:bidi="ar-SA"/>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94">
    <w:name w:val="样式 标题 1 + 加粗"/>
    <w:basedOn w:val="3"/>
    <w:qFormat/>
    <w:uiPriority w:val="0"/>
    <w:pPr>
      <w:spacing w:before="100" w:beforeLines="100" w:after="100" w:afterLines="100" w:line="240" w:lineRule="auto"/>
    </w:pPr>
    <w:rPr>
      <w:rFonts w:eastAsia="黑体"/>
      <w:sz w:val="28"/>
      <w:szCs w:val="28"/>
    </w:rPr>
  </w:style>
  <w:style w:type="paragraph" w:customStyle="1" w:styleId="95">
    <w:name w:val="font6"/>
    <w:basedOn w:val="1"/>
    <w:qFormat/>
    <w:uiPriority w:val="0"/>
    <w:pPr>
      <w:widowControl/>
      <w:spacing w:before="100" w:beforeAutospacing="1" w:after="100" w:afterAutospacing="1"/>
      <w:jc w:val="left"/>
    </w:pPr>
    <w:rPr>
      <w:rFonts w:hint="eastAsia" w:ascii="宋体" w:hAnsi="宋体"/>
      <w:kern w:val="0"/>
      <w:sz w:val="20"/>
    </w:rPr>
  </w:style>
  <w:style w:type="paragraph" w:customStyle="1" w:styleId="96">
    <w:name w:val="样式 样式 标题 2 + 段前: 0.5 行 段后: 0.5 行 + 首行缩进:  2 字符 段前: 0.5 行 段后: 0..."/>
    <w:basedOn w:val="90"/>
    <w:qFormat/>
    <w:uiPriority w:val="0"/>
    <w:pPr>
      <w:spacing w:before="50" w:after="50"/>
      <w:ind w:firstLine="0" w:firstLineChars="0"/>
    </w:pPr>
    <w:rPr>
      <w:bCs w:val="0"/>
      <w:szCs w:val="20"/>
    </w:rPr>
  </w:style>
  <w:style w:type="paragraph" w:customStyle="1" w:styleId="97">
    <w:name w:val="样式 标题 1 + 18 磅"/>
    <w:basedOn w:val="3"/>
    <w:qFormat/>
    <w:uiPriority w:val="0"/>
    <w:pPr>
      <w:keepNext w:val="0"/>
      <w:keepLines w:val="0"/>
      <w:spacing w:before="312" w:beforeLines="100" w:after="156" w:afterLines="50" w:line="240" w:lineRule="auto"/>
      <w:outlineLvl w:val="9"/>
    </w:pPr>
    <w:rPr>
      <w:rFonts w:ascii="宋体" w:hAnsi="宋体"/>
      <w:bCs w:val="0"/>
      <w:kern w:val="2"/>
      <w:sz w:val="24"/>
      <w:szCs w:val="20"/>
    </w:rPr>
  </w:style>
  <w:style w:type="paragraph" w:customStyle="1" w:styleId="98">
    <w:name w:val="正文格式"/>
    <w:basedOn w:val="1"/>
    <w:qFormat/>
    <w:uiPriority w:val="0"/>
    <w:pPr>
      <w:topLinePunct/>
      <w:ind w:firstLine="420" w:firstLineChars="200"/>
    </w:pPr>
    <w:rPr>
      <w:rFonts w:ascii="宋体" w:hAnsi="宋体"/>
    </w:rPr>
  </w:style>
  <w:style w:type="paragraph" w:customStyle="1" w:styleId="99">
    <w:name w:val="xl37"/>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00">
    <w:name w:val=" Char"/>
    <w:basedOn w:val="1"/>
    <w:semiHidden/>
    <w:qFormat/>
    <w:uiPriority w:val="0"/>
    <w:rPr>
      <w:szCs w:val="24"/>
    </w:rPr>
  </w:style>
  <w:style w:type="paragraph" w:customStyle="1" w:styleId="101">
    <w:name w:val="xl29"/>
    <w:basedOn w:val="1"/>
    <w:qFormat/>
    <w:uiPriority w:val="0"/>
    <w:pPr>
      <w:widowControl/>
      <w:pBdr>
        <w:bottom w:val="single" w:color="auto" w:sz="4" w:space="0"/>
      </w:pBdr>
      <w:spacing w:before="100" w:beforeAutospacing="1" w:after="100" w:afterAutospacing="1"/>
      <w:jc w:val="center"/>
    </w:pPr>
    <w:rPr>
      <w:rFonts w:ascii="宋体" w:hAnsi="宋体"/>
      <w:b/>
      <w:bCs/>
      <w:kern w:val="0"/>
      <w:sz w:val="40"/>
      <w:szCs w:val="40"/>
    </w:rPr>
  </w:style>
  <w:style w:type="paragraph" w:customStyle="1" w:styleId="102">
    <w:name w:val="Char3"/>
    <w:basedOn w:val="1"/>
    <w:qFormat/>
    <w:uiPriority w:val="0"/>
    <w:rPr>
      <w:rFonts w:ascii="宋体" w:hAnsi="宋体"/>
      <w:b/>
      <w:color w:val="000000"/>
      <w:sz w:val="24"/>
      <w:szCs w:val="24"/>
    </w:rPr>
  </w:style>
  <w:style w:type="paragraph" w:customStyle="1" w:styleId="103">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04">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5">
    <w:name w:val="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06">
    <w:name w:val="标书正文格式"/>
    <w:qFormat/>
    <w:uiPriority w:val="0"/>
    <w:pPr>
      <w:numPr>
        <w:ilvl w:val="2"/>
        <w:numId w:val="3"/>
      </w:numPr>
      <w:spacing w:line="360" w:lineRule="auto"/>
      <w:ind w:left="0" w:firstLine="113"/>
    </w:pPr>
    <w:rPr>
      <w:rFonts w:ascii="仿宋" w:hAnsi="仿宋" w:eastAsia="仿宋" w:cs="Times New Roman"/>
      <w:kern w:val="2"/>
      <w:sz w:val="24"/>
      <w:szCs w:val="24"/>
      <w:lang w:val="en-US" w:eastAsia="zh-CN" w:bidi="ar-SA"/>
    </w:rPr>
  </w:style>
  <w:style w:type="paragraph" w:customStyle="1" w:styleId="107">
    <w:name w:val="索引 11"/>
    <w:basedOn w:val="1"/>
    <w:next w:val="1"/>
    <w:qFormat/>
    <w:uiPriority w:val="0"/>
    <w:pPr>
      <w:spacing w:line="360" w:lineRule="auto"/>
    </w:pPr>
    <w:rPr>
      <w:rFonts w:ascii="仿宋_GB2312" w:eastAsia="仿宋_GB2312"/>
      <w:sz w:val="24"/>
      <w:szCs w:val="20"/>
    </w:rPr>
  </w:style>
  <w:style w:type="paragraph" w:customStyle="1" w:styleId="108">
    <w:name w:val="纯文本1"/>
    <w:basedOn w:val="1"/>
    <w:qFormat/>
    <w:uiPriority w:val="0"/>
    <w:pPr>
      <w:adjustRightInd w:val="0"/>
    </w:pPr>
    <w:rPr>
      <w:rFonts w:ascii="宋体" w:hAnsi="Courier New"/>
      <w:szCs w:val="20"/>
    </w:rPr>
  </w:style>
  <w:style w:type="character" w:customStyle="1" w:styleId="109">
    <w:name w:val="标题 4 Char"/>
    <w:link w:val="2"/>
    <w:qFormat/>
    <w:uiPriority w:val="0"/>
    <w:rPr>
      <w:rFonts w:ascii="Arial" w:hAnsi="Arial" w:eastAsia="仿宋"/>
      <w:bCs/>
      <w:kern w:val="2"/>
      <w:sz w:val="28"/>
      <w:szCs w:val="28"/>
    </w:rPr>
  </w:style>
  <w:style w:type="character" w:customStyle="1" w:styleId="110">
    <w:name w:val="标题 1 Char"/>
    <w:link w:val="3"/>
    <w:qFormat/>
    <w:uiPriority w:val="9"/>
    <w:rPr>
      <w:b/>
      <w:bCs/>
      <w:kern w:val="44"/>
      <w:sz w:val="44"/>
      <w:szCs w:val="44"/>
    </w:rPr>
  </w:style>
  <w:style w:type="character" w:customStyle="1" w:styleId="111">
    <w:name w:val="标题 2 Char"/>
    <w:link w:val="4"/>
    <w:qFormat/>
    <w:locked/>
    <w:uiPriority w:val="0"/>
    <w:rPr>
      <w:rFonts w:ascii="Arial" w:hAnsi="Arial" w:eastAsia="仿宋"/>
      <w:b/>
      <w:bCs/>
      <w:kern w:val="2"/>
      <w:sz w:val="32"/>
      <w:szCs w:val="32"/>
    </w:rPr>
  </w:style>
  <w:style w:type="character" w:customStyle="1" w:styleId="112">
    <w:name w:val="标题 3 Char"/>
    <w:link w:val="5"/>
    <w:qFormat/>
    <w:uiPriority w:val="0"/>
    <w:rPr>
      <w:rFonts w:eastAsia="仿宋"/>
      <w:b/>
      <w:bCs/>
      <w:kern w:val="2"/>
      <w:sz w:val="24"/>
      <w:szCs w:val="32"/>
    </w:rPr>
  </w:style>
  <w:style w:type="character" w:customStyle="1" w:styleId="113">
    <w:name w:val="批注文字 Char"/>
    <w:link w:val="16"/>
    <w:qFormat/>
    <w:uiPriority w:val="0"/>
    <w:rPr>
      <w:kern w:val="2"/>
      <w:sz w:val="21"/>
    </w:rPr>
  </w:style>
  <w:style w:type="character" w:customStyle="1" w:styleId="114">
    <w:name w:val="正文文本缩进 Char"/>
    <w:link w:val="20"/>
    <w:qFormat/>
    <w:uiPriority w:val="0"/>
    <w:rPr>
      <w:b/>
      <w:kern w:val="2"/>
      <w:sz w:val="24"/>
    </w:rPr>
  </w:style>
  <w:style w:type="character" w:customStyle="1" w:styleId="115">
    <w:name w:val="纯文本 Char"/>
    <w:link w:val="24"/>
    <w:qFormat/>
    <w:locked/>
    <w:uiPriority w:val="0"/>
    <w:rPr>
      <w:rFonts w:ascii="宋体" w:hAnsi="Courier New" w:eastAsia="宋体"/>
      <w:kern w:val="2"/>
      <w:sz w:val="21"/>
      <w:lang w:val="en-US" w:eastAsia="zh-CN" w:bidi="ar-SA"/>
    </w:rPr>
  </w:style>
  <w:style w:type="character" w:customStyle="1" w:styleId="116">
    <w:name w:val="日期 Char"/>
    <w:link w:val="26"/>
    <w:qFormat/>
    <w:uiPriority w:val="99"/>
    <w:rPr>
      <w:kern w:val="2"/>
      <w:sz w:val="21"/>
    </w:rPr>
  </w:style>
  <w:style w:type="character" w:customStyle="1" w:styleId="117">
    <w:name w:val="批注框文本 Char"/>
    <w:link w:val="28"/>
    <w:semiHidden/>
    <w:qFormat/>
    <w:uiPriority w:val="99"/>
    <w:rPr>
      <w:kern w:val="2"/>
      <w:sz w:val="18"/>
      <w:szCs w:val="18"/>
    </w:rPr>
  </w:style>
  <w:style w:type="character" w:customStyle="1" w:styleId="118">
    <w:name w:val="页脚 Char"/>
    <w:link w:val="29"/>
    <w:qFormat/>
    <w:uiPriority w:val="99"/>
    <w:rPr>
      <w:kern w:val="2"/>
      <w:sz w:val="18"/>
    </w:rPr>
  </w:style>
  <w:style w:type="character" w:customStyle="1" w:styleId="119">
    <w:name w:val="页眉 Char"/>
    <w:link w:val="30"/>
    <w:qFormat/>
    <w:uiPriority w:val="0"/>
    <w:rPr>
      <w:kern w:val="2"/>
      <w:sz w:val="18"/>
    </w:rPr>
  </w:style>
  <w:style w:type="character" w:customStyle="1" w:styleId="120">
    <w:name w:val="标题 Char"/>
    <w:link w:val="40"/>
    <w:qFormat/>
    <w:uiPriority w:val="0"/>
    <w:rPr>
      <w:rFonts w:ascii="Cambria" w:hAnsi="Cambria" w:eastAsia="仿宋"/>
      <w:b/>
      <w:bCs/>
      <w:kern w:val="2"/>
      <w:sz w:val="44"/>
      <w:szCs w:val="32"/>
    </w:rPr>
  </w:style>
  <w:style w:type="character" w:customStyle="1" w:styleId="121">
    <w:name w:val="font71"/>
    <w:qFormat/>
    <w:uiPriority w:val="0"/>
    <w:rPr>
      <w:rFonts w:hint="default" w:ascii="Times New Roman" w:hAnsi="Times New Roman" w:cs="Times New Roman"/>
      <w:color w:val="000000"/>
      <w:sz w:val="22"/>
      <w:szCs w:val="22"/>
      <w:u w:val="none"/>
    </w:rPr>
  </w:style>
  <w:style w:type="character" w:customStyle="1" w:styleId="122">
    <w:name w:val="font11"/>
    <w:qFormat/>
    <w:uiPriority w:val="0"/>
    <w:rPr>
      <w:rFonts w:hint="eastAsia" w:ascii="宋体" w:hAnsi="宋体" w:eastAsia="宋体" w:cs="宋体"/>
      <w:color w:val="000000"/>
      <w:sz w:val="18"/>
      <w:szCs w:val="18"/>
      <w:u w:val="none"/>
    </w:rPr>
  </w:style>
  <w:style w:type="character" w:customStyle="1" w:styleId="123">
    <w:name w:val="font01"/>
    <w:basedOn w:val="45"/>
    <w:qFormat/>
    <w:uiPriority w:val="0"/>
    <w:rPr>
      <w:rFonts w:hint="eastAsia" w:ascii="宋体" w:hAnsi="宋体" w:eastAsia="宋体" w:cs="宋体"/>
      <w:color w:val="808080"/>
      <w:sz w:val="22"/>
      <w:szCs w:val="22"/>
      <w:u w:val="none"/>
    </w:rPr>
  </w:style>
  <w:style w:type="character" w:customStyle="1" w:styleId="124">
    <w:name w:val="font91"/>
    <w:qFormat/>
    <w:uiPriority w:val="0"/>
    <w:rPr>
      <w:rFonts w:ascii="Tahoma" w:hAnsi="Tahoma" w:eastAsia="Tahoma" w:cs="Tahoma"/>
      <w:color w:val="808080"/>
      <w:sz w:val="18"/>
      <w:szCs w:val="18"/>
      <w:u w:val="none"/>
    </w:rPr>
  </w:style>
  <w:style w:type="character" w:customStyle="1" w:styleId="125">
    <w:name w:val="font131"/>
    <w:qFormat/>
    <w:uiPriority w:val="0"/>
    <w:rPr>
      <w:rFonts w:hint="eastAsia" w:ascii="宋体" w:hAnsi="宋体" w:eastAsia="宋体" w:cs="宋体"/>
      <w:color w:val="000000"/>
      <w:sz w:val="20"/>
      <w:szCs w:val="20"/>
      <w:u w:val="single"/>
    </w:rPr>
  </w:style>
  <w:style w:type="character" w:customStyle="1" w:styleId="126">
    <w:name w:val="font111"/>
    <w:qFormat/>
    <w:uiPriority w:val="0"/>
    <w:rPr>
      <w:rFonts w:hint="default" w:ascii="Times New Roman" w:hAnsi="Times New Roman" w:cs="Times New Roman"/>
      <w:color w:val="000000"/>
      <w:sz w:val="20"/>
      <w:szCs w:val="20"/>
      <w:u w:val="none"/>
    </w:rPr>
  </w:style>
  <w:style w:type="character" w:customStyle="1" w:styleId="127">
    <w:name w:val="表头 Char"/>
    <w:link w:val="53"/>
    <w:qFormat/>
    <w:uiPriority w:val="0"/>
    <w:rPr>
      <w:rFonts w:ascii="黑体" w:hAnsi="Monotype Corsiva" w:eastAsia="黑体"/>
      <w:b/>
      <w:snapToGrid w:val="0"/>
      <w:sz w:val="21"/>
      <w:szCs w:val="24"/>
      <w:lang w:val="en-US" w:eastAsia="zh-CN" w:bidi="ar-SA"/>
    </w:rPr>
  </w:style>
  <w:style w:type="character" w:customStyle="1" w:styleId="128">
    <w:name w:val="font161"/>
    <w:qFormat/>
    <w:uiPriority w:val="0"/>
    <w:rPr>
      <w:rFonts w:hint="default" w:ascii="Tahoma" w:hAnsi="Tahoma" w:eastAsia="Tahoma" w:cs="Tahoma"/>
      <w:color w:val="000000"/>
      <w:sz w:val="18"/>
      <w:szCs w:val="18"/>
      <w:u w:val="none"/>
    </w:rPr>
  </w:style>
  <w:style w:type="character" w:customStyle="1" w:styleId="129">
    <w:name w:val="Table Text Char1"/>
    <w:link w:val="54"/>
    <w:qFormat/>
    <w:uiPriority w:val="0"/>
    <w:rPr>
      <w:rFonts w:ascii="Arial" w:hAnsi="Arial"/>
      <w:sz w:val="18"/>
      <w:lang w:val="en-US" w:eastAsia="en-US" w:bidi="ar-SA"/>
    </w:rPr>
  </w:style>
  <w:style w:type="character" w:customStyle="1" w:styleId="130">
    <w:name w:val="纯文本 字符1"/>
    <w:qFormat/>
    <w:locked/>
    <w:uiPriority w:val="0"/>
    <w:rPr>
      <w:rFonts w:ascii="宋体" w:hAnsi="Courier New" w:cs="Courier New"/>
      <w:sz w:val="21"/>
      <w:szCs w:val="21"/>
    </w:rPr>
  </w:style>
  <w:style w:type="character" w:customStyle="1" w:styleId="131">
    <w:name w:val="font21"/>
    <w:qFormat/>
    <w:uiPriority w:val="0"/>
    <w:rPr>
      <w:rFonts w:hint="eastAsia" w:ascii="宋体" w:hAnsi="宋体" w:eastAsia="宋体" w:cs="宋体"/>
      <w:b/>
      <w:color w:val="000000"/>
      <w:sz w:val="22"/>
      <w:szCs w:val="22"/>
      <w:u w:val="none"/>
    </w:rPr>
  </w:style>
  <w:style w:type="character" w:customStyle="1" w:styleId="132">
    <w:name w:val="para1"/>
    <w:basedOn w:val="45"/>
    <w:qFormat/>
    <w:uiPriority w:val="0"/>
  </w:style>
  <w:style w:type="character" w:customStyle="1" w:styleId="133">
    <w:name w:val="font61"/>
    <w:qFormat/>
    <w:uiPriority w:val="0"/>
    <w:rPr>
      <w:rFonts w:hint="eastAsia" w:ascii="宋体" w:hAnsi="宋体" w:eastAsia="宋体" w:cs="宋体"/>
      <w:color w:val="000000"/>
      <w:sz w:val="22"/>
      <w:szCs w:val="22"/>
      <w:u w:val="none"/>
    </w:rPr>
  </w:style>
  <w:style w:type="character" w:customStyle="1" w:styleId="134">
    <w:name w:val="三级 Char"/>
    <w:qFormat/>
    <w:uiPriority w:val="0"/>
    <w:rPr>
      <w:rFonts w:eastAsia="宋体"/>
      <w:b/>
      <w:bCs/>
      <w:kern w:val="2"/>
      <w:sz w:val="24"/>
      <w:szCs w:val="32"/>
      <w:lang w:val="en-US" w:eastAsia="zh-CN" w:bidi="ar-SA"/>
    </w:rPr>
  </w:style>
  <w:style w:type="character" w:customStyle="1" w:styleId="135">
    <w:name w:val="font51"/>
    <w:qFormat/>
    <w:uiPriority w:val="0"/>
    <w:rPr>
      <w:rFonts w:hint="default" w:ascii="Times New Roman" w:hAnsi="Times New Roman" w:cs="Times New Roman"/>
      <w:b/>
      <w:color w:val="000000"/>
      <w:sz w:val="22"/>
      <w:szCs w:val="22"/>
      <w:u w:val="none"/>
    </w:rPr>
  </w:style>
  <w:style w:type="character" w:customStyle="1" w:styleId="136">
    <w:name w:val="font141"/>
    <w:qFormat/>
    <w:uiPriority w:val="0"/>
    <w:rPr>
      <w:rFonts w:hint="eastAsia" w:ascii="宋体" w:hAnsi="宋体" w:eastAsia="宋体" w:cs="宋体"/>
      <w:color w:val="000000"/>
      <w:sz w:val="18"/>
      <w:szCs w:val="18"/>
      <w:u w:val="single"/>
    </w:rPr>
  </w:style>
  <w:style w:type="character" w:customStyle="1" w:styleId="137">
    <w:name w:val="项目编号A Char Char"/>
    <w:link w:val="55"/>
    <w:qFormat/>
    <w:locked/>
    <w:uiPriority w:val="0"/>
    <w:rPr>
      <w:rFonts w:ascii="Arial" w:hAnsi="宋体"/>
      <w:snapToGrid w:val="0"/>
      <w:spacing w:val="10"/>
      <w:kern w:val="2"/>
      <w:sz w:val="24"/>
      <w:szCs w:val="24"/>
    </w:rPr>
  </w:style>
  <w:style w:type="character" w:customStyle="1" w:styleId="138">
    <w:name w:val="hei1"/>
    <w:qFormat/>
    <w:uiPriority w:val="0"/>
    <w:rPr>
      <w:sz w:val="21"/>
      <w:szCs w:val="21"/>
    </w:rPr>
  </w:style>
  <w:style w:type="table" w:customStyle="1" w:styleId="139">
    <w:name w:val="网格型1"/>
    <w:basedOn w:val="4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0">
    <w:name w:val="font31"/>
    <w:basedOn w:val="45"/>
    <w:qFormat/>
    <w:uiPriority w:val="0"/>
    <w:rPr>
      <w:rFonts w:hint="default" w:ascii="Times New Roman" w:hAnsi="Times New Roman" w:cs="Times New Roman"/>
      <w:color w:val="000000"/>
      <w:sz w:val="21"/>
      <w:szCs w:val="21"/>
      <w:u w:val="none"/>
    </w:rPr>
  </w:style>
  <w:style w:type="paragraph" w:customStyle="1" w:styleId="141">
    <w:name w:val="abc正文"/>
    <w:basedOn w:val="1"/>
    <w:qFormat/>
    <w:uiPriority w:val="0"/>
    <w:pPr>
      <w:spacing w:line="400" w:lineRule="exact"/>
      <w:ind w:firstLine="480" w:firstLineChars="200"/>
    </w:pPr>
    <w:rPr>
      <w:rFonts w:asciiTheme="minorHAnsi" w:hAnsiTheme="minorHAnsi" w:eastAsiaTheme="minorEastAsia" w:cstheme="minorBidi"/>
      <w:sz w:val="24"/>
      <w:szCs w:val="22"/>
    </w:rPr>
  </w:style>
  <w:style w:type="paragraph" w:customStyle="1" w:styleId="142">
    <w:name w:val="缺省文本:1"/>
    <w:basedOn w:val="1"/>
    <w:qFormat/>
    <w:uiPriority w:val="0"/>
    <w:pPr>
      <w:autoSpaceDE w:val="0"/>
      <w:autoSpaceDN w:val="0"/>
      <w:adjustRightInd w:val="0"/>
      <w:jc w:val="left"/>
    </w:pPr>
    <w:rPr>
      <w:rFonts w:ascii="宋体"/>
      <w:kern w:val="0"/>
      <w:sz w:val="24"/>
      <w:szCs w:val="20"/>
    </w:rPr>
  </w:style>
  <w:style w:type="table" w:customStyle="1" w:styleId="143">
    <w:name w:val="网格型4"/>
    <w:basedOn w:val="42"/>
    <w:qFormat/>
    <w:uiPriority w:val="5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28641</Words>
  <Characters>30518</Characters>
  <Lines>187</Lines>
  <Paragraphs>52</Paragraphs>
  <TotalTime>86</TotalTime>
  <ScaleCrop>false</ScaleCrop>
  <LinksUpToDate>false</LinksUpToDate>
  <CharactersWithSpaces>32342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2017-09-17T14:51:00Z</dcterms:created>
  <dc:creator>LSK</dc:creator>
  <cp:keywords>Birthday</cp:keywords>
  <cp:lastModifiedBy>Administrator</cp:lastModifiedBy>
  <cp:lastPrinted>2023-03-27T02:01:00Z</cp:lastPrinted>
  <dcterms:modified xsi:type="dcterms:W3CDTF">2023-04-17T08:49:47Z</dcterms:modified>
  <dc:subject>Birthday</dc:subject>
  <dc:title>Are You suprised ?</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E852E02EBADE45E3AB8230ED5E66F12F_13</vt:lpwstr>
  </property>
</Properties>
</file>